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1"/>
        <w:ind w:firstLine="0"/>
        <w:jc w:val="center"/>
        <w:spacing w:line="360" w:lineRule="auto"/>
        <w:tabs>
          <w:tab w:val="left" w:pos="675" w:leader="none"/>
          <w:tab w:val="clear" w:pos="720" w:leader="none"/>
          <w:tab w:val="left" w:pos="2385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к проекту закона Приморского края «Об установлении в Приморском крае коэффициента, отражающего региональные особенности рынка </w:t>
      </w:r>
      <w:r>
        <w:rPr>
          <w:b w:val="0"/>
          <w:bCs w:val="0"/>
          <w:sz w:val="28"/>
          <w:szCs w:val="28"/>
        </w:rPr>
        <w:br w:type="textWrapping" w:clear="all"/>
      </w:r>
      <w:r>
        <w:rPr>
          <w:b w:val="0"/>
          <w:bCs w:val="0"/>
          <w:sz w:val="28"/>
          <w:szCs w:val="28"/>
        </w:rPr>
        <w:t xml:space="preserve">труда, на 2027 год»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791"/>
        <w:ind w:firstLine="720"/>
        <w:jc w:val="both"/>
        <w:tabs>
          <w:tab w:val="left" w:pos="675" w:leader="none"/>
          <w:tab w:val="clear" w:pos="72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ind w:firstLine="709"/>
        <w:jc w:val="both"/>
        <w:spacing w:line="352" w:lineRule="auto"/>
        <w:tabs>
          <w:tab w:val="left" w:pos="675" w:leader="none"/>
          <w:tab w:val="clear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227.1 Налогового коде</w:t>
      </w:r>
      <w:r>
        <w:rPr>
          <w:sz w:val="28"/>
          <w:szCs w:val="28"/>
        </w:rPr>
        <w:t xml:space="preserve">кса Российской Федерации размер фиксированного авансового платежа по налогу на доходы физических лиц от осуществления иностранными гражданами в Российской Федерации трудовой деятельности по найму на основании патента складывается из следующих составляющих: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ind w:firstLine="709"/>
        <w:jc w:val="both"/>
        <w:spacing w:line="352" w:lineRule="auto"/>
        <w:tabs>
          <w:tab w:val="left" w:pos="675" w:leader="none"/>
          <w:tab w:val="clear" w:pos="72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фиксированный авансовый платеж в размере 1 200 рублей в месяц;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ind w:firstLine="709"/>
        <w:jc w:val="both"/>
        <w:spacing w:line="352" w:lineRule="auto"/>
        <w:tabs>
          <w:tab w:val="left" w:pos="675" w:leader="none"/>
          <w:tab w:val="clear" w:pos="720" w:leader="none"/>
        </w:tabs>
        <w:rPr>
          <w:sz w:val="28"/>
          <w:szCs w:val="28"/>
        </w:rPr>
      </w:pPr>
      <w:r>
        <w:rPr>
          <w:sz w:val="28"/>
        </w:rPr>
        <w:t xml:space="preserve">индексация на коэффициент-дефлятор (по налогу на доходы физических лиц), установленный на соответствующий календарный год (Минэкономразвития России);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ind w:firstLine="709"/>
        <w:jc w:val="both"/>
        <w:spacing w:line="352" w:lineRule="auto"/>
        <w:tabs>
          <w:tab w:val="left" w:pos="675" w:leader="none"/>
          <w:tab w:val="clear" w:pos="720" w:leader="none"/>
        </w:tabs>
        <w:rPr>
          <w:sz w:val="28"/>
          <w:szCs w:val="28"/>
        </w:rPr>
      </w:pPr>
      <w:r>
        <w:rPr>
          <w:sz w:val="28"/>
        </w:rPr>
        <w:t xml:space="preserve">индексация на коэффициент, отражающий региональные особенности рынка труда (далее – региональный коэффициент), устанавливаемый на соответствующий календарный год законом субъекта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ind w:firstLine="709"/>
        <w:jc w:val="both"/>
        <w:spacing w:line="352" w:lineRule="auto"/>
        <w:tabs>
          <w:tab w:val="left" w:pos="675" w:leader="none"/>
          <w:tab w:val="clear" w:pos="720" w:leader="none"/>
        </w:tabs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На 2025 год </w:t>
      </w:r>
      <w:r>
        <w:rPr>
          <w:sz w:val="28"/>
          <w:szCs w:val="28"/>
        </w:rPr>
        <w:t xml:space="preserve">региональный коэффициент был установлен </w:t>
      </w:r>
      <w:r>
        <w:rPr>
          <w:color w:val="auto"/>
          <w:sz w:val="28"/>
          <w:szCs w:val="28"/>
        </w:rPr>
        <w:t xml:space="preserve">с учетом прогноза социально-экономического развития Приморского края на 2025 год и период до 2027 года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в связи с необходимостью уравнять размер ежемесячного авансового платежа по патенту с размером налоговых отчислений от средней заработной платы в крае (НДФЛ)</w:t>
      </w:r>
      <w:r>
        <w:rPr>
          <w:sz w:val="28"/>
          <w:szCs w:val="28"/>
        </w:rPr>
        <w:t xml:space="preserve"> в размере, равном 3,78 (сумма авансового платежа в месяц составила 11 764, 4 руб.).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ind w:firstLine="709"/>
        <w:jc w:val="both"/>
        <w:spacing w:line="352" w:lineRule="auto"/>
        <w:tabs>
          <w:tab w:val="left" w:pos="675" w:leader="none"/>
          <w:tab w:val="clear" w:pos="720" w:leader="none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Справочно:</w:t>
      </w:r>
      <w:r>
        <w:rPr>
          <w:sz w:val="28"/>
          <w:szCs w:val="28"/>
        </w:rPr>
        <w:t xml:space="preserve"> за 2025 год оформлено 34 879</w:t>
      </w:r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патентов, доходы краевого бюджета от авансовых платежей по патентам составили </w:t>
      </w:r>
      <w:r>
        <w:rPr>
          <w:sz w:val="28"/>
          <w:szCs w:val="28"/>
        </w:rPr>
        <w:t xml:space="preserve">3 076 438</w:t>
      </w:r>
      <w:r>
        <w:rPr>
          <w:sz w:val="28"/>
          <w:szCs w:val="28"/>
        </w:rPr>
        <w:t xml:space="preserve"> тыс. рублей.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contextualSpacing/>
        <w:ind w:right="-1" w:firstLine="709"/>
        <w:jc w:val="both"/>
        <w:spacing w:before="0" w:after="0" w:line="352" w:lineRule="auto"/>
        <w:rPr>
          <w:color w:val="000000"/>
          <w:spacing w:val="-2"/>
          <w:sz w:val="28"/>
          <w:szCs w:val="22"/>
        </w:rPr>
      </w:pPr>
      <w:r>
        <w:rPr>
          <w:color w:val="000000"/>
          <w:spacing w:val="-2"/>
          <w:sz w:val="28"/>
          <w:szCs w:val="22"/>
        </w:rPr>
        <w:t xml:space="preserve">На 2026 год региональный коэффициент установлен в размере, </w:t>
      </w:r>
      <w:r>
        <w:rPr>
          <w:color w:val="000000"/>
          <w:spacing w:val="-2"/>
          <w:sz w:val="28"/>
          <w:szCs w:val="22"/>
        </w:rPr>
        <w:t xml:space="preserve">равном 4,06, сумма авансового платежа в месяц составила 13 846, 22 руб.</w:t>
      </w:r>
      <w:r>
        <w:rPr>
          <w:color w:val="000000"/>
          <w:spacing w:val="-2"/>
          <w:sz w:val="28"/>
          <w:szCs w:val="22"/>
        </w:rPr>
      </w:r>
      <w:r>
        <w:rPr>
          <w:color w:val="000000"/>
          <w:spacing w:val="-2"/>
          <w:sz w:val="28"/>
          <w:szCs w:val="22"/>
        </w:rPr>
      </w:r>
    </w:p>
    <w:p>
      <w:pPr>
        <w:pStyle w:val="791"/>
        <w:contextualSpacing/>
        <w:ind w:firstLine="709"/>
        <w:jc w:val="both"/>
        <w:spacing w:before="0" w:after="0" w:line="352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Справочно:</w:t>
      </w:r>
      <w:r>
        <w:rPr>
          <w:sz w:val="28"/>
          <w:szCs w:val="28"/>
        </w:rPr>
        <w:t xml:space="preserve"> за 6 мес. 2026 года оформлено </w:t>
      </w:r>
      <w:r>
        <w:rPr>
          <w:sz w:val="28"/>
          <w:szCs w:val="28"/>
        </w:rPr>
        <w:t xml:space="preserve">11 703</w:t>
      </w:r>
      <w:r>
        <w:rPr>
          <w:sz w:val="28"/>
          <w:szCs w:val="28"/>
        </w:rPr>
        <w:t xml:space="preserve"> патента, доходы консолидированного бюджета Приморского края от авансовых платежей по патентам составили </w:t>
      </w:r>
      <w:r>
        <w:rPr>
          <w:sz w:val="28"/>
          <w:szCs w:val="28"/>
        </w:rPr>
        <w:t xml:space="preserve">1 464 663,80</w:t>
      </w:r>
      <w:r>
        <w:rPr>
          <w:sz w:val="28"/>
          <w:szCs w:val="28"/>
          <w:highlight w:val="yellow"/>
        </w:rPr>
      </w:r>
      <w:r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contextualSpacing/>
        <w:ind w:firstLine="709"/>
        <w:jc w:val="both"/>
        <w:spacing w:before="0" w:after="0" w:line="352" w:lineRule="auto"/>
        <w:rPr>
          <w:sz w:val="28"/>
          <w:szCs w:val="28"/>
          <w:highlight w:val="yellow"/>
        </w:rPr>
      </w:pPr>
      <w:r>
        <w:rPr>
          <w:color w:val="000000"/>
          <w:spacing w:val="-2"/>
          <w:sz w:val="28"/>
          <w:szCs w:val="22"/>
        </w:rPr>
        <w:t xml:space="preserve">Учитывая прогноз </w:t>
      </w:r>
      <w:r>
        <w:rPr>
          <w:color w:val="auto"/>
          <w:sz w:val="28"/>
          <w:szCs w:val="28"/>
        </w:rPr>
        <w:t xml:space="preserve">социально-экономического развития Приморского края на 2026 год и плановый период до 2028 года</w:t>
      </w:r>
      <w:r>
        <w:rPr>
          <w:color w:val="000000"/>
          <w:spacing w:val="-2"/>
          <w:sz w:val="28"/>
          <w:szCs w:val="22"/>
        </w:rPr>
        <w:t xml:space="preserve">,</w:t>
      </w:r>
      <w:r>
        <w:rPr>
          <w:sz w:val="28"/>
          <w:szCs w:val="28"/>
        </w:rPr>
        <w:t xml:space="preserve"> в соответствии с предложениями министерства финансов Приморского края, министерства профессионального образования и занятости населения Приморского края и Управления по вопросам мигр</w:t>
      </w:r>
      <w:r>
        <w:rPr>
          <w:sz w:val="28"/>
          <w:szCs w:val="28"/>
        </w:rPr>
        <w:t xml:space="preserve">ации УМВД России по Приморскому краю, с учетом сложившейся экономической ситуации и в целях стабилизации бюджетных поступлений от налогов на доходы физических лиц в виде фиксированного авансового платежа за осуществление трудовой деятельности на основании </w:t>
      </w:r>
      <w:r>
        <w:rPr>
          <w:sz w:val="28"/>
          <w:szCs w:val="28"/>
        </w:rPr>
        <w:t xml:space="preserve">патентов от иностранных граждан, а также создания условий для привлекательности осуществления трудовой деятельности иностранными гражданами на основании патентов, предлагается установить размер регионального коэффициента на 2027 год в размере, равном </w:t>
      </w:r>
      <w:r>
        <w:rPr>
          <w:sz w:val="28"/>
          <w:szCs w:val="28"/>
          <w:highlight w:val="none"/>
        </w:rPr>
        <w:t xml:space="preserve">4,77.</w:t>
      </w:r>
      <w:r>
        <w:rPr>
          <w:sz w:val="28"/>
          <w:szCs w:val="28"/>
          <w:highlight w:val="none"/>
        </w:rPr>
        <w:t xml:space="preserve"> При этом размер авансового платежа за патент в месяц составит - 16 267,6 руб. (при сохранении коэффициента-дефлятора на прежнем уровне).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791"/>
        <w:contextualSpacing/>
        <w:ind w:firstLine="709"/>
        <w:jc w:val="both"/>
        <w:spacing w:before="0" w:after="0" w:line="352" w:lineRule="auto"/>
        <w:rPr>
          <w:bCs w:val="0"/>
          <w:i w:val="0"/>
          <w:sz w:val="28"/>
          <w:szCs w:val="28"/>
        </w:rPr>
      </w:pPr>
      <w:r>
        <w:rPr>
          <w:i/>
          <w:iCs/>
          <w:sz w:val="28"/>
          <w:szCs w:val="28"/>
        </w:rPr>
        <w:t xml:space="preserve">Справочно: </w:t>
      </w:r>
      <w:r>
        <w:rPr>
          <w:i w:val="0"/>
          <w:iCs w:val="0"/>
          <w:sz w:val="28"/>
          <w:szCs w:val="28"/>
        </w:rPr>
        <w:t xml:space="preserve">за 2023 оформлено 28 072 патента, за 2024 - 26 929, за 2025  - 34 879</w:t>
      </w:r>
      <w:r>
        <w:rPr>
          <w:i w:val="0"/>
          <w:iCs w:val="0"/>
          <w:sz w:val="28"/>
          <w:szCs w:val="28"/>
        </w:rPr>
        <w:t xml:space="preserve">, за 6 мес. 2026 года - 11 703, в 2027 году количество оформленных патентов ожидается на уровне прошлых лет.</w:t>
      </w:r>
      <w:r>
        <w:rPr>
          <w:bCs w:val="0"/>
          <w:i w:val="0"/>
          <w:sz w:val="28"/>
          <w:szCs w:val="28"/>
        </w:rPr>
      </w:r>
      <w:r>
        <w:rPr>
          <w:bCs w:val="0"/>
          <w:i w:val="0"/>
          <w:sz w:val="28"/>
          <w:szCs w:val="28"/>
        </w:rPr>
      </w:r>
    </w:p>
    <w:p>
      <w:pPr>
        <w:pStyle w:val="791"/>
        <w:contextualSpacing/>
        <w:ind w:firstLine="709"/>
        <w:jc w:val="both"/>
        <w:spacing w:before="0" w:after="0" w:line="352" w:lineRule="auto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прогноз поступлений в бюджет края по налогам на доходы физических лиц от осуществления иностранными гражданами трудовой деятельности по найму на основании патента в 2027 году составит не менее      2</w:t>
      </w:r>
      <w:r>
        <w:rPr>
          <w:color w:val="auto"/>
          <w:sz w:val="28"/>
          <w:szCs w:val="28"/>
          <w:highlight w:val="none"/>
        </w:rPr>
        <w:t xml:space="preserve"> 900 000</w:t>
      </w:r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contextualSpacing/>
        <w:ind w:firstLine="709"/>
        <w:jc w:val="both"/>
        <w:spacing w:before="0" w:after="0" w:line="352" w:lineRule="auto"/>
        <w:rPr>
          <w:sz w:val="28"/>
          <w:szCs w:val="28"/>
        </w:rPr>
      </w:pPr>
      <w:r>
        <w:rPr>
          <w:sz w:val="28"/>
          <w:szCs w:val="28"/>
        </w:rPr>
        <w:t xml:space="preserve">Проект закона не содержит коррупциогенных факторов.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ind w:firstLine="720"/>
        <w:jc w:val="both"/>
        <w:spacing w:line="360" w:lineRule="auto"/>
        <w:tabs>
          <w:tab w:val="left" w:pos="709" w:leader="none"/>
          <w:tab w:val="clear" w:pos="72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ind w:right="5102" w:firstLine="0"/>
        <w:jc w:val="center"/>
        <w:tabs>
          <w:tab w:val="clear" w:pos="720" w:leader="none"/>
          <w:tab w:val="left" w:pos="49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102" w:firstLine="0"/>
        <w:jc w:val="center"/>
        <w:tabs>
          <w:tab w:val="clear" w:pos="720" w:leader="none"/>
          <w:tab w:val="left" w:pos="495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агентства миграционной политики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91"/>
        <w:ind w:right="14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Приморского края                                                ________ М.В. Сорокин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footnotePr/>
      <w:endnotePr/>
      <w:type w:val="oddPage"/>
      <w:pgSz w:w="11906" w:h="16838" w:orient="portrait"/>
      <w:pgMar w:top="1134" w:right="850" w:bottom="1134" w:left="1417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6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1" w:default="1">
    <w:name w:val="Normal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6"/>
      <w:szCs w:val="20"/>
      <w:lang w:val="ru-RU" w:eastAsia="ru-RU" w:bidi="ar-SA"/>
    </w:rPr>
  </w:style>
  <w:style w:type="paragraph" w:styleId="792">
    <w:name w:val="Heading 1"/>
    <w:basedOn w:val="79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93">
    <w:name w:val="Heading 2"/>
    <w:basedOn w:val="79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94">
    <w:name w:val="Heading 3"/>
    <w:basedOn w:val="7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95">
    <w:name w:val="Heading 4"/>
    <w:basedOn w:val="7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6">
    <w:name w:val="Heading 5"/>
    <w:basedOn w:val="7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97">
    <w:name w:val="Heading 6"/>
    <w:basedOn w:val="79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98">
    <w:name w:val="Heading 7"/>
    <w:basedOn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9">
    <w:name w:val="Heading 8"/>
    <w:basedOn w:val="7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00">
    <w:name w:val="Heading 9"/>
    <w:basedOn w:val="7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802">
    <w:name w:val="Heading 2 Char"/>
    <w:uiPriority w:val="9"/>
    <w:qFormat/>
    <w:rPr>
      <w:rFonts w:ascii="Arial" w:hAnsi="Arial" w:eastAsia="Arial" w:cs="Arial"/>
      <w:sz w:val="34"/>
    </w:rPr>
  </w:style>
  <w:style w:type="character" w:styleId="803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804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05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06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07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08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09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10">
    <w:name w:val="Title Char"/>
    <w:uiPriority w:val="10"/>
    <w:qFormat/>
    <w:rPr>
      <w:sz w:val="48"/>
      <w:szCs w:val="48"/>
    </w:rPr>
  </w:style>
  <w:style w:type="character" w:styleId="811">
    <w:name w:val="Subtitle Char"/>
    <w:uiPriority w:val="11"/>
    <w:qFormat/>
    <w:rPr>
      <w:sz w:val="24"/>
      <w:szCs w:val="24"/>
    </w:rPr>
  </w:style>
  <w:style w:type="character" w:styleId="812">
    <w:name w:val="Quote Char"/>
    <w:uiPriority w:val="29"/>
    <w:qFormat/>
    <w:rPr>
      <w:i/>
    </w:rPr>
  </w:style>
  <w:style w:type="character" w:styleId="813">
    <w:name w:val="Intense Quote Char"/>
    <w:uiPriority w:val="30"/>
    <w:qFormat/>
    <w:rPr>
      <w:i/>
    </w:rPr>
  </w:style>
  <w:style w:type="character" w:styleId="814">
    <w:name w:val="Header Char"/>
    <w:uiPriority w:val="99"/>
    <w:qFormat/>
  </w:style>
  <w:style w:type="character" w:styleId="815">
    <w:name w:val="Footer Char"/>
    <w:uiPriority w:val="99"/>
    <w:qFormat/>
  </w:style>
  <w:style w:type="character" w:styleId="816">
    <w:name w:val="Caption Char"/>
    <w:uiPriority w:val="99"/>
    <w:qFormat/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character" w:styleId="818">
    <w:name w:val="Footnote Text Char"/>
    <w:uiPriority w:val="99"/>
    <w:qFormat/>
    <w:rPr>
      <w:sz w:val="18"/>
    </w:rPr>
  </w:style>
  <w:style w:type="character" w:styleId="819">
    <w:name w:val="Символ сноски"/>
    <w:uiPriority w:val="99"/>
    <w:unhideWhenUsed/>
    <w:qFormat/>
    <w:rPr>
      <w:vertAlign w:val="superscript"/>
    </w:rPr>
  </w:style>
  <w:style w:type="character" w:styleId="820">
    <w:name w:val="footnote reference"/>
    <w:rPr>
      <w:vertAlign w:val="superscript"/>
    </w:rPr>
  </w:style>
  <w:style w:type="character" w:styleId="821">
    <w:name w:val="Endnote Text Char"/>
    <w:uiPriority w:val="99"/>
    <w:qFormat/>
    <w:rPr>
      <w:sz w:val="20"/>
    </w:rPr>
  </w:style>
  <w:style w:type="character" w:styleId="822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23">
    <w:name w:val="endnote reference"/>
    <w:rPr>
      <w:vertAlign w:val="superscript"/>
    </w:rPr>
  </w:style>
  <w:style w:type="character" w:styleId="824">
    <w:name w:val="Основной шрифт абзаца"/>
    <w:semiHidden/>
    <w:qFormat/>
  </w:style>
  <w:style w:type="character" w:styleId="825">
    <w:name w:val="Page Number"/>
    <w:basedOn w:val="824"/>
  </w:style>
  <w:style w:type="character" w:styleId="826">
    <w:name w:val="Нижний колонтитул Знак"/>
    <w:qFormat/>
    <w:rPr>
      <w:sz w:val="26"/>
    </w:rPr>
  </w:style>
  <w:style w:type="character" w:styleId="827">
    <w:name w:val="Обычный1 Знак"/>
    <w:qFormat/>
    <w:rPr>
      <w:sz w:val="26"/>
    </w:rPr>
  </w:style>
  <w:style w:type="character" w:styleId="828" w:default="1">
    <w:name w:val="Default Paragraph Font"/>
    <w:uiPriority w:val="1"/>
    <w:semiHidden/>
    <w:unhideWhenUsed/>
    <w:qFormat/>
  </w:style>
  <w:style w:type="paragraph" w:styleId="829">
    <w:name w:val="Заголовок"/>
    <w:basedOn w:val="791"/>
    <w:next w:val="830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30">
    <w:name w:val="Body Text"/>
    <w:basedOn w:val="791"/>
    <w:pPr>
      <w:jc w:val="center"/>
    </w:pPr>
  </w:style>
  <w:style w:type="paragraph" w:styleId="831">
    <w:name w:val="List"/>
    <w:basedOn w:val="830"/>
    <w:rPr>
      <w:rFonts w:ascii="PT Astra Serif" w:hAnsi="PT Astra Serif" w:cs="Noto Sans Devanagari"/>
    </w:rPr>
  </w:style>
  <w:style w:type="paragraph" w:styleId="832">
    <w:name w:val="Caption"/>
    <w:basedOn w:val="791"/>
    <w:link w:val="8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33">
    <w:name w:val="Указатель"/>
    <w:basedOn w:val="791"/>
    <w:qFormat/>
    <w:pPr>
      <w:suppressLineNumbers/>
    </w:pPr>
    <w:rPr>
      <w:rFonts w:ascii="PT Astra Serif" w:hAnsi="PT Astra Serif" w:cs="Noto Sans Devanagari"/>
    </w:rPr>
  </w:style>
  <w:style w:type="paragraph" w:styleId="834">
    <w:name w:val="List Paragraph"/>
    <w:basedOn w:val="791"/>
    <w:uiPriority w:val="34"/>
    <w:qFormat/>
    <w:pPr>
      <w:contextualSpacing/>
      <w:ind w:left="720" w:firstLine="0"/>
      <w:spacing w:before="0" w:after="0"/>
    </w:pPr>
  </w:style>
  <w:style w:type="paragraph" w:styleId="835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zh-CN" w:bidi="ar-SA"/>
    </w:rPr>
  </w:style>
  <w:style w:type="paragraph" w:styleId="836">
    <w:name w:val="Title"/>
    <w:basedOn w:val="791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37">
    <w:name w:val="Subtitle"/>
    <w:basedOn w:val="791"/>
    <w:uiPriority w:val="11"/>
    <w:qFormat/>
    <w:pPr>
      <w:spacing w:before="200" w:after="200"/>
    </w:pPr>
    <w:rPr>
      <w:sz w:val="24"/>
      <w:szCs w:val="24"/>
    </w:rPr>
  </w:style>
  <w:style w:type="paragraph" w:styleId="838">
    <w:name w:val="Quote"/>
    <w:basedOn w:val="791"/>
    <w:uiPriority w:val="29"/>
    <w:qFormat/>
    <w:pPr>
      <w:ind w:left="720" w:right="720" w:firstLine="0"/>
    </w:pPr>
    <w:rPr>
      <w:i/>
    </w:rPr>
  </w:style>
  <w:style w:type="paragraph" w:styleId="839">
    <w:name w:val="Intense Quote"/>
    <w:basedOn w:val="791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40">
    <w:name w:val="Колонтитул"/>
    <w:basedOn w:val="791"/>
    <w:qFormat/>
  </w:style>
  <w:style w:type="paragraph" w:styleId="841">
    <w:name w:val="Header"/>
    <w:basedOn w:val="791"/>
    <w:uiPriority w:val="99"/>
    <w:unhideWhenUsed/>
    <w:pPr>
      <w:tabs>
        <w:tab w:val="clear" w:pos="720" w:leader="none"/>
        <w:tab w:val="center" w:pos="4153" w:leader="none"/>
        <w:tab w:val="right" w:pos="8306" w:leader="none"/>
      </w:tabs>
    </w:pPr>
  </w:style>
  <w:style w:type="paragraph" w:styleId="842">
    <w:name w:val="Footer"/>
    <w:basedOn w:val="791"/>
    <w:uiPriority w:val="99"/>
    <w:unhideWhenUsed/>
    <w:pPr>
      <w:tabs>
        <w:tab w:val="clear" w:pos="720" w:leader="none"/>
        <w:tab w:val="center" w:pos="4677" w:leader="none"/>
        <w:tab w:val="right" w:pos="9355" w:leader="none"/>
      </w:tabs>
    </w:pPr>
  </w:style>
  <w:style w:type="paragraph" w:styleId="843">
    <w:name w:val="footnote text"/>
    <w:basedOn w:val="791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44">
    <w:name w:val="endnote text"/>
    <w:basedOn w:val="791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45">
    <w:name w:val="toc 1"/>
    <w:basedOn w:val="791"/>
    <w:uiPriority w:val="39"/>
    <w:unhideWhenUsed/>
    <w:pPr>
      <w:ind w:left="0" w:right="0" w:firstLine="0"/>
      <w:spacing w:before="0" w:after="57"/>
    </w:pPr>
  </w:style>
  <w:style w:type="paragraph" w:styleId="846">
    <w:name w:val="toc 2"/>
    <w:basedOn w:val="791"/>
    <w:uiPriority w:val="39"/>
    <w:unhideWhenUsed/>
    <w:pPr>
      <w:ind w:left="283" w:right="0" w:firstLine="0"/>
      <w:spacing w:before="0" w:after="57"/>
    </w:pPr>
  </w:style>
  <w:style w:type="paragraph" w:styleId="847">
    <w:name w:val="toc 3"/>
    <w:basedOn w:val="791"/>
    <w:uiPriority w:val="39"/>
    <w:unhideWhenUsed/>
    <w:pPr>
      <w:ind w:left="567" w:right="0" w:firstLine="0"/>
      <w:spacing w:before="0" w:after="57"/>
    </w:pPr>
  </w:style>
  <w:style w:type="paragraph" w:styleId="848">
    <w:name w:val="toc 4"/>
    <w:basedOn w:val="791"/>
    <w:uiPriority w:val="39"/>
    <w:unhideWhenUsed/>
    <w:pPr>
      <w:ind w:left="850" w:right="0" w:firstLine="0"/>
      <w:spacing w:before="0" w:after="57"/>
    </w:pPr>
  </w:style>
  <w:style w:type="paragraph" w:styleId="849">
    <w:name w:val="toc 5"/>
    <w:basedOn w:val="791"/>
    <w:uiPriority w:val="39"/>
    <w:unhideWhenUsed/>
    <w:pPr>
      <w:ind w:left="1134" w:right="0" w:firstLine="0"/>
      <w:spacing w:before="0" w:after="57"/>
    </w:pPr>
  </w:style>
  <w:style w:type="paragraph" w:styleId="850">
    <w:name w:val="toc 6"/>
    <w:basedOn w:val="791"/>
    <w:uiPriority w:val="39"/>
    <w:unhideWhenUsed/>
    <w:pPr>
      <w:ind w:left="1417" w:right="0" w:firstLine="0"/>
      <w:spacing w:before="0" w:after="57"/>
    </w:pPr>
  </w:style>
  <w:style w:type="paragraph" w:styleId="851">
    <w:name w:val="toc 7"/>
    <w:basedOn w:val="791"/>
    <w:uiPriority w:val="39"/>
    <w:unhideWhenUsed/>
    <w:pPr>
      <w:ind w:left="1701" w:right="0" w:firstLine="0"/>
      <w:spacing w:before="0" w:after="57"/>
    </w:pPr>
  </w:style>
  <w:style w:type="paragraph" w:styleId="852">
    <w:name w:val="toc 8"/>
    <w:basedOn w:val="791"/>
    <w:uiPriority w:val="39"/>
    <w:unhideWhenUsed/>
    <w:pPr>
      <w:ind w:left="1984" w:right="0" w:firstLine="0"/>
      <w:spacing w:before="0" w:after="57"/>
    </w:pPr>
  </w:style>
  <w:style w:type="paragraph" w:styleId="853">
    <w:name w:val="toc 9"/>
    <w:basedOn w:val="791"/>
    <w:uiPriority w:val="39"/>
    <w:unhideWhenUsed/>
    <w:pPr>
      <w:ind w:left="2268" w:right="0" w:firstLine="0"/>
      <w:spacing w:before="0" w:after="57"/>
    </w:pPr>
  </w:style>
  <w:style w:type="paragraph" w:styleId="854">
    <w:name w:val="Index Heading"/>
    <w:basedOn w:val="829"/>
  </w:style>
  <w:style w:type="paragraph" w:styleId="855">
    <w:name w:val="TOC Heading"/>
    <w:uiPriority w:val="39"/>
    <w:unhideWhenUsed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zh-CN" w:bidi="ar-SA"/>
    </w:rPr>
  </w:style>
  <w:style w:type="paragraph" w:styleId="856">
    <w:name w:val="table of figures"/>
    <w:basedOn w:val="791"/>
    <w:uiPriority w:val="99"/>
    <w:unhideWhenUsed/>
    <w:qFormat/>
    <w:pPr>
      <w:spacing w:before="0" w:after="0" w:afterAutospacing="0"/>
    </w:pPr>
  </w:style>
  <w:style w:type="paragraph" w:styleId="857">
    <w:name w:val="Текст выноски"/>
    <w:basedOn w:val="791"/>
    <w:semiHidden/>
    <w:qFormat/>
    <w:rPr>
      <w:rFonts w:ascii="Tahoma" w:hAnsi="Tahoma" w:cs="Tahoma"/>
      <w:sz w:val="16"/>
      <w:szCs w:val="16"/>
    </w:rPr>
  </w:style>
  <w:style w:type="paragraph" w:styleId="858">
    <w:name w:val="ConsPlusNormal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8"/>
      <w:szCs w:val="28"/>
      <w:lang w:val="ru-RU" w:eastAsia="ru-RU" w:bidi="ar-SA"/>
    </w:rPr>
  </w:style>
  <w:style w:type="paragraph" w:styleId="859">
    <w:name w:val="Обычный1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6"/>
      <w:szCs w:val="20"/>
      <w:lang w:val="ru-RU" w:eastAsia="ru-RU" w:bidi="ar-SA"/>
    </w:rPr>
  </w:style>
  <w:style w:type="paragraph" w:styleId="860">
    <w:name w:val="Содержимое врезки"/>
    <w:basedOn w:val="791"/>
    <w:qFormat/>
  </w:style>
  <w:style w:type="numbering" w:styleId="861">
    <w:name w:val="Нет списка"/>
    <w:semiHidden/>
    <w:qFormat/>
  </w:style>
  <w:style w:type="numbering" w:styleId="862" w:default="1">
    <w:name w:val="No List"/>
    <w:uiPriority w:val="99"/>
    <w:semiHidden/>
    <w:unhideWhenUsed/>
    <w:qFormat/>
  </w:style>
  <w:style w:type="table" w:styleId="86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Matrix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dc:description/>
  <dc:language>ru-RU</dc:language>
  <cp:lastModifiedBy>rogozhnikova_es</cp:lastModifiedBy>
  <cp:revision>47</cp:revision>
  <dcterms:created xsi:type="dcterms:W3CDTF">2020-10-01T02:32:00Z</dcterms:created>
  <dcterms:modified xsi:type="dcterms:W3CDTF">2026-07-08T01:42:18Z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