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center" w:pos="5167" w:leader="none"/>
          <w:tab w:val="left" w:pos="7740" w:leader="none"/>
        </w:tabs>
        <w:spacing w:lineRule="auto" w:line="240"/>
        <w:ind w:hanging="0" w:left="0" w:right="0"/>
        <w:jc w:val="center"/>
        <w:rPr/>
      </w:pPr>
      <w:r>
        <w:rPr>
          <w:rFonts w:ascii="Times New Roman" w:hAnsi="Times New Roman"/>
          <w:b/>
        </w:rPr>
        <w:t>ПОЯСНИТЕЛЬНАЯ ЗАПИСКА</w:t>
      </w:r>
    </w:p>
    <w:p>
      <w:pPr>
        <w:pStyle w:val="Normal"/>
        <w:widowControl w:val="false"/>
        <w:spacing w:lineRule="auto" w:line="240"/>
        <w:ind w:hanging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/>
        <w:ind w:hanging="0" w:left="0" w:right="0"/>
        <w:jc w:val="center"/>
        <w:rPr/>
      </w:pPr>
      <w:r>
        <w:rPr>
          <w:rFonts w:ascii="Times New Roman" w:hAnsi="Times New Roman"/>
        </w:rPr>
        <w:t>к проекту закона Приморского к</w:t>
      </w:r>
      <w:r>
        <w:rPr>
          <w:rFonts w:ascii="Times New Roman" w:hAnsi="Times New Roman"/>
          <w:b w:val="false"/>
          <w:bCs w:val="false"/>
        </w:rPr>
        <w:t xml:space="preserve">рая «О переводе </w:t>
      </w:r>
      <w:r>
        <w:rPr>
          <w:rFonts w:eastAsia="PT Astra Serif" w:ascii="Times New Roman" w:hAnsi="Times New Roman"/>
          <w:b w:val="false"/>
          <w:bCs w:val="false"/>
          <w:sz w:val="28"/>
        </w:rPr>
        <w:t>земельных участков</w:t>
        <w:br/>
        <w:t>с кадастровыми номерами 25:18:015701:1153, 25:18:015701:1154, 25:18:015701:1157, 25:18:015701:817</w:t>
      </w:r>
      <w:r>
        <w:rPr>
          <w:rFonts w:ascii="Times New Roman" w:hAnsi="Times New Roman"/>
        </w:rPr>
        <w:t xml:space="preserve"> из категории земель сельскохозяйственного назначения в другую категорию»</w:t>
      </w:r>
    </w:p>
    <w:p>
      <w:pPr>
        <w:pStyle w:val="Normal"/>
        <w:widowControl w:val="false"/>
        <w:spacing w:lineRule="auto" w:line="240"/>
        <w:ind w:firstLine="540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spacing w:lineRule="auto" w:line="240"/>
        <w:ind w:firstLine="540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spacing w:lineRule="exact" w:line="454"/>
        <w:ind w:firstLine="709" w:left="0" w:right="0"/>
        <w:jc w:val="both"/>
        <w:rPr/>
      </w:pPr>
      <w:r>
        <w:rPr>
          <w:rFonts w:ascii="Times New Roman" w:hAnsi="Times New Roman"/>
        </w:rPr>
        <w:t xml:space="preserve">Проект закона Приморского края </w:t>
      </w:r>
      <w:r>
        <w:rPr>
          <w:rFonts w:ascii="Times New Roman" w:hAnsi="Times New Roman"/>
          <w:b w:val="false"/>
          <w:bCs w:val="false"/>
        </w:rPr>
        <w:t xml:space="preserve">«О переводе </w:t>
      </w:r>
      <w:r>
        <w:rPr>
          <w:rFonts w:eastAsia="PT Astra Serif" w:ascii="Times New Roman" w:hAnsi="Times New Roman"/>
          <w:b w:val="false"/>
          <w:bCs w:val="false"/>
          <w:sz w:val="28"/>
        </w:rPr>
        <w:t>земельных участков</w:t>
        <w:br/>
        <w:t>с кадастровыми номерами 25:18:015701:1153, 25:18:015701:1154, 25:18:015701:1157, 25:18:015701:817</w:t>
      </w:r>
      <w:r>
        <w:rPr>
          <w:rFonts w:ascii="Times New Roman" w:hAnsi="Times New Roman"/>
        </w:rPr>
        <w:t xml:space="preserve"> из категории земель сельскохозяйственного назначения в другую категорию» (далее - законопроект) разработан с учетом внесения изменений в Федеральный закон от 21 декабря 2004 года № 172-ФЗ «О переводе земель или земельных участков из одной категории в другую» (далее - Федеральный закон № 172-ФЗ), </w:t>
      </w: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>а также в Закон Приморского края</w:t>
        <w:br/>
        <w:t>от 29 декабря 2003 года № 90-КЗ «О регулировании земельных отношений</w:t>
        <w:br/>
        <w:t>в Приморском крае» в целях реализации с 1 марта 2026 года нового порядка перевода земель сельскохозяйственного назначения или земельных участков</w:t>
        <w:br/>
        <w:t xml:space="preserve">в составе таких земель в другую категорию. 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/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>Перевод земель или земельных участков в отношении земель сельскохозяйственного назначения или земельных участков в составе таких земель, за исключением земель, находящихся в федеральной собственности, принимается исполнительным органом субъекта Российской Федерации</w:t>
        <w:br/>
        <w:t>в соответствии с законом субъекта Российской Федерации, предусматривающим перевод земель сельскохозяйственного назначения или земельных участков в составе таких земель из одной категории в другую,</w:t>
        <w:br/>
        <w:t>в случае выражения согласия высшего должностного лица субъекта Российской Федерации с предложением о переводе таких земель или земельных участков</w:t>
        <w:br/>
        <w:t>в составе таких земель из одной категории в другую.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/>
      </w:pPr>
      <w:r>
        <w:rPr>
          <w:rFonts w:ascii="Times New Roman" w:hAnsi="Times New Roman"/>
        </w:rPr>
        <w:t>В соответствии с частью 1 статьи 2 Федерального закона № 172-ФЗ</w:t>
        <w:br/>
        <w:t>администраци</w:t>
      </w:r>
      <w:r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 Уссурийского городского округа Приморского края</w:t>
        <w:br/>
        <w:t>в министерство имущественных и земельных отношений поданы ходатайства</w:t>
        <w:br/>
        <w:t xml:space="preserve">о переводе земельных участков с кадастровыми номерами: 25:18:015701:1153 площадью 333291 кв. м, 25:18:015701:1154 площадью 714521 кв. м, 25:18:015701:1157 площадью 399999 кв. м, 25:18:015701:817 площадью 323070 кв. м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- земли промышленности и иного специального назначения). 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 xml:space="preserve">Перевод указанных земельных участков необходим для дальнейшего размещения промышленного объекта федерального значения «АЭС–19 Приморская АЭС». 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>Статьей 7 Федерального закона № 172–ФЗ установлено, что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 в исключительных случаях, связанных с размещением промышленных объектов на землях, кадастровая стоимость которых</w:t>
        <w:br/>
        <w:t xml:space="preserve">не превышает средний уровень кадастровой стоимости по муниципальному району (муниципальному округу, городскому округу), а также на других землях и с иными несельскохозяйственными нуждами при отсутствии иных вариантов размещения этих объектов. 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 xml:space="preserve">Администрацией Уссурийского городского округа Приморского края направлено согласие на перевод земельных участков и представлена информация об отсутствии иных вариантов размещения на территории городского округа объекта федерального значения «АЭС–19 Приморская АЭС». 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>По информации краевого государственного бюджетного учреждения «Центр кадастровой оценки Приморского края», кадастровая стоимость земельных участков с кадастровыми номерами 25:18:015701:1154, 25:18:015701:1153, 25:18:015701:1157, 25:18:015701:817 не превышает среднего уровня кадастровой стоимости земель сельскохозяйственного назначения Уссурийского городского округа Приморского края.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>Согласно генеральному плану Уссурийского городского округа Приморского края, утвержденному решением Думы Уссурийского городского округа от 28 июля 2026 года № 467 «Об утверждении генерального</w:t>
        <w:br/>
        <w:t>плана Уссурийского городского округа Приморского края», земельные</w:t>
        <w:br/>
        <w:t xml:space="preserve">участки с кадастровыми номерами 25:18:015701:1154, 25:18:015701:1153, 25:18:015701:1157, 25:18:015701:817 расположены вне границ населенного пункта, в границах функциональной «производственной зоны, зоны инженерной и транспортной инфраструктур», что соответствует заявленным целям использования земельных участков и не противоречит документам территориального планирования. 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/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>Министерством сельского хозяйства Приморского края представлена информация, что часть участков относится к сельскохозяйственным угодьям (пастбище), остальная часть - лесные насаждения на землях сельскохозяйственного назначения, другие несельскохозяйственные угодья.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>Учитывая, что перевод указанных земельных участков из категории земель сельскохозяйственного назначения необходим для размещения объекта федерального значения «АЭС-19 Приморская АЭС», министерство сельского хозяйства Приморского края не имеет возражений.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/>
      </w:pP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 xml:space="preserve">С учетом отсутствия оснований для отказа, указанных в статье 4 Федерального закона № 172-ФЗ, </w:t>
      </w:r>
      <w:r>
        <w:rPr>
          <w:rFonts w:ascii="Times New Roman" w:hAnsi="Times New Roman"/>
          <w:bCs/>
          <w:color w:val="000000"/>
          <w:kern w:val="0"/>
          <w:lang w:bidi="ar-SA"/>
        </w:rPr>
        <w:t xml:space="preserve">законопроектом предусматривается перевод </w:t>
      </w:r>
      <w:r>
        <w:rPr>
          <w:rFonts w:eastAsia="PT Astra Serif" w:ascii="Times New Roman" w:hAnsi="Times New Roman"/>
          <w:b w:val="false"/>
          <w:bCs/>
          <w:color w:val="000000"/>
          <w:kern w:val="0"/>
          <w:lang w:bidi="ar-SA"/>
        </w:rPr>
        <w:br/>
      </w:r>
      <w:r>
        <w:rPr>
          <w:rFonts w:eastAsia="PT Astra Serif" w:ascii="Times New Roman" w:hAnsi="Times New Roman"/>
          <w:b w:val="false"/>
          <w:bCs w:val="false"/>
          <w:color w:val="000000"/>
          <w:kern w:val="0"/>
          <w:sz w:val="28"/>
          <w:lang w:bidi="ar-SA"/>
        </w:rPr>
        <w:t xml:space="preserve">земельных участков с кадастровыми номерами 25:18:015701:1153, 25:18:015701:1154, 25:18:015701:1157, 25:18:015701:817 </w:t>
      </w:r>
      <w:r>
        <w:rPr>
          <w:rFonts w:ascii="Times New Roman" w:hAnsi="Times New Roman"/>
          <w:bCs/>
          <w:color w:val="000000"/>
          <w:kern w:val="0"/>
          <w:lang w:bidi="ar-SA"/>
        </w:rPr>
        <w:t>из категории земель сельскохозяйственного назначения в категорию земель промышленности</w:t>
        <w:br/>
      </w:r>
      <w:r>
        <w:rPr>
          <w:rFonts w:ascii="Times New Roman" w:hAnsi="Times New Roman"/>
          <w:b w:val="false"/>
          <w:bCs w:val="false"/>
          <w:color w:val="000000"/>
          <w:kern w:val="0"/>
          <w:lang w:bidi="ar-SA"/>
        </w:rPr>
        <w:t xml:space="preserve">и иного специального назначения </w:t>
      </w:r>
      <w:r>
        <w:rPr>
          <w:rFonts w:ascii="Times New Roman" w:hAnsi="Times New Roman"/>
          <w:bCs/>
          <w:color w:val="000000"/>
          <w:kern w:val="0"/>
          <w:lang w:bidi="ar-SA"/>
        </w:rPr>
        <w:t xml:space="preserve">для дальнейшего использования земельных участков в целях </w:t>
      </w:r>
      <w:r>
        <w:rPr>
          <w:rFonts w:ascii="Times New Roman" w:hAnsi="Times New Roman"/>
          <w:bCs/>
          <w:color w:val="000000"/>
          <w:kern w:val="0"/>
          <w:shd w:fill="FFFFFF" w:val="clear"/>
          <w:lang w:bidi="ar-SA"/>
        </w:rPr>
        <w:t xml:space="preserve">размещения объекта федерального значения «АЭС-19 Приморская АЭС». </w:t>
      </w:r>
    </w:p>
    <w:p>
      <w:pPr>
        <w:pStyle w:val="Normal"/>
        <w:widowControl w:val="false"/>
        <w:spacing w:lineRule="exact" w:line="454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0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50"/>
        <w:gridCol w:w="6052"/>
      </w:tblGrid>
      <w:tr>
        <w:trPr/>
        <w:tc>
          <w:tcPr>
            <w:tcW w:w="3550" w:type="dxa"/>
            <w:tcBorders/>
          </w:tcPr>
          <w:p>
            <w:pPr>
              <w:pStyle w:val="4R44t4u4wyu444444"/>
              <w:tabs>
                <w:tab w:val="clear" w:pos="708"/>
              </w:tabs>
              <w:ind w:hanging="0" w:left="0" w:right="0"/>
              <w:jc w:val="center"/>
              <w:rPr/>
            </w:pPr>
            <w:r>
              <w:rPr>
                <w:rFonts w:ascii="Times New Roman" w:hAnsi="Times New Roman"/>
              </w:rPr>
              <w:t>Министр имущественных</w:t>
            </w:r>
          </w:p>
          <w:p>
            <w:pPr>
              <w:pStyle w:val="4R44t4u4wyu444444"/>
              <w:tabs>
                <w:tab w:val="clear" w:pos="708"/>
              </w:tabs>
              <w:ind w:hanging="0" w:left="0" w:right="0"/>
              <w:jc w:val="center"/>
              <w:rPr/>
            </w:pPr>
            <w:r>
              <w:rPr>
                <w:rFonts w:ascii="Times New Roman" w:hAnsi="Times New Roman"/>
              </w:rPr>
              <w:t>и земельных отношений</w:t>
            </w:r>
          </w:p>
          <w:p>
            <w:pPr>
              <w:pStyle w:val="4R44t4u4wyu444444"/>
              <w:tabs>
                <w:tab w:val="clear" w:pos="708"/>
              </w:tabs>
              <w:ind w:hanging="0" w:left="0" w:right="0"/>
              <w:jc w:val="center"/>
              <w:rPr/>
            </w:pPr>
            <w:r>
              <w:rPr>
                <w:rFonts w:ascii="Times New Roman" w:hAnsi="Times New Roman"/>
              </w:rPr>
              <w:t>Приморского края</w:t>
            </w:r>
          </w:p>
        </w:tc>
        <w:tc>
          <w:tcPr>
            <w:tcW w:w="6052" w:type="dxa"/>
            <w:tcBorders/>
          </w:tcPr>
          <w:p>
            <w:pPr>
              <w:pStyle w:val="4R44t4u4wyu444444"/>
              <w:tabs>
                <w:tab w:val="clear" w:pos="708"/>
              </w:tabs>
              <w:ind w:hanging="0" w:left="0" w:righ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4R44t4u4wyu444444"/>
              <w:tabs>
                <w:tab w:val="clear" w:pos="708"/>
              </w:tabs>
              <w:ind w:hanging="0" w:left="0" w:righ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4R44t4u4wyu444444"/>
              <w:tabs>
                <w:tab w:val="clear" w:pos="708"/>
              </w:tabs>
              <w:ind w:hanging="0" w:left="0" w:right="0"/>
              <w:jc w:val="right"/>
              <w:rPr/>
            </w:pPr>
            <w:r>
              <w:rPr>
                <w:rFonts w:ascii="Times New Roman" w:hAnsi="Times New Roman"/>
              </w:rPr>
              <w:t>С.В. Батаев</w:t>
            </w:r>
          </w:p>
        </w:tc>
      </w:tr>
    </w:tbl>
    <w:p>
      <w:pPr>
        <w:pStyle w:val="4O4rz4444"/>
        <w:widowControl w:val="false"/>
        <w:spacing w:lineRule="auto" w:line="360"/>
        <w:ind w:hanging="0" w:left="0"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283" w:top="816" w:footer="0" w:bottom="1015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4B4u44444444444y44"/>
      <w:ind w:hanging="0" w:left="0" w:right="0"/>
      <w:jc w:val="center"/>
      <w:rPr/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3</w:t>
    </w:r>
    <w:r>
      <w:rPr>
        <w:sz w:val="24"/>
        <w:szCs w:val="24"/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hi-IN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>
      <w:rFonts w:ascii="Times New Roman" w:hAnsi="Times New Roman" w:eastAsia="Times New Roman"/>
    </w:rPr>
  </w:style>
  <w:style w:type="character" w:styleId="WW8Num1z1">
    <w:name w:val="WW8Num1z1"/>
    <w:qFormat/>
    <w:rPr>
      <w:rFonts w:ascii="Courier New" w:hAnsi="Courier New" w:eastAsia="Times New Roman"/>
    </w:rPr>
  </w:style>
  <w:style w:type="character" w:styleId="WW8Num2z0">
    <w:name w:val="WW8Num2z0"/>
    <w:qFormat/>
    <w:rPr>
      <w:rFonts w:ascii="Times New Roman" w:hAnsi="Times New Roman" w:eastAsia="Times New Roman"/>
    </w:rPr>
  </w:style>
  <w:style w:type="character" w:styleId="WW8Num2z1">
    <w:name w:val="WW8Num2z1"/>
    <w:qFormat/>
    <w:rPr>
      <w:rFonts w:ascii="Courier New" w:hAnsi="Courier New" w:eastAsia="Times New Roman"/>
    </w:rPr>
  </w:style>
  <w:style w:type="character" w:styleId="4O4rz44y4p44444p">
    <w:name w:val="О4Oс4・н~?о?вr?н~?о?йz ?ш・4р4yи4・ф・?тp?4а?4б?4з?4а4pц"/>
    <w:qFormat/>
    <w:rPr/>
  </w:style>
  <w:style w:type="character" w:styleId="4N444u444py4">
    <w:name w:val="Н4Nо4м4]е4uр4・?с・4т4・рp?а~?нy?и・4ц"/>
    <w:basedOn w:val="4O4rz44y4p44444p"/>
    <w:qFormat/>
    <w:rPr>
      <w:rFonts w:ascii="Times New Roman" w:hAnsi="Times New Roman" w:eastAsia="Times New Roman"/>
      <w:color w:val="000000"/>
      <w:sz w:val="24"/>
      <w:szCs w:val="24"/>
    </w:rPr>
  </w:style>
  <w:style w:type="character" w:styleId="4O4rz44444Hp">
    <w:name w:val="О4Oс4・н~?о?вr?н~?о?йz ?т・4е?4к?4с4・т4H?З~?нp?а["/>
    <w:qFormat/>
    <w:rPr>
      <w:sz w:val="26"/>
    </w:rPr>
  </w:style>
  <w:style w:type="character" w:styleId="4I44u44444444p">
    <w:name w:val="И4Iн4~т4・еu?р・4н?4е?4т?4・с・4с4|ы4[л4pк"/>
    <w:qFormat/>
    <w:rPr>
      <w:color w:val="0000FF"/>
      <w:u w:val="single"/>
    </w:rPr>
  </w:style>
  <w:style w:type="character" w:styleId="FontStyle17">
    <w:name w:val="Font Style17"/>
    <w:qFormat/>
    <w:rPr>
      <w:rFonts w:ascii="Times New Roman" w:hAnsi="Times New Roman" w:eastAsia="Times New Roman"/>
      <w:sz w:val="34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cs="Mangal"/>
      <w:color w:val="000000"/>
      <w:sz w:val="25"/>
      <w:szCs w:val="25"/>
    </w:rPr>
  </w:style>
  <w:style w:type="character" w:styleId="Style15">
    <w:name w:val="Нижний колонтитул Знак"/>
    <w:basedOn w:val="DefaultParagraphFont"/>
    <w:qFormat/>
    <w:rPr>
      <w:rFonts w:ascii="Times New Roman" w:hAnsi="Times New Roman" w:cs="Mangal"/>
      <w:color w:val="000000"/>
      <w:sz w:val="25"/>
      <w:szCs w:val="25"/>
    </w:rPr>
  </w:style>
  <w:style w:type="paragraph" w:styleId="Style16">
    <w:name w:val="Заголовок"/>
    <w:basedOn w:val="Normal"/>
    <w:next w:val="BodyText"/>
    <w:qFormat/>
    <w:pPr>
      <w:keepNext w:val="true"/>
      <w:widowControl/>
      <w:suppressAutoHyphens w:val="true"/>
      <w:bidi w:val="0"/>
      <w:spacing w:before="240" w:after="120"/>
      <w:jc w:val="left"/>
      <w:textAlignment w:val="auto"/>
    </w:pPr>
    <w:rPr>
      <w:rFonts w:ascii="PT Astra Serif" w:hAnsi="PT Astra Serif" w:eastAsia="Tahoma" w:cs="Noto Sans Devanagari"/>
      <w:color w:val="auto"/>
      <w:kern w:val="2"/>
      <w:sz w:val="28"/>
      <w:szCs w:val="28"/>
      <w:lang w:val="ru-RU" w:eastAsia="ru-RU" w:bidi="hi-IN"/>
    </w:rPr>
  </w:style>
  <w:style w:type="paragraph" w:styleId="BodyText">
    <w:name w:val="Body Text"/>
    <w:basedOn w:val="Normal"/>
    <w:pPr>
      <w:widowControl/>
      <w:suppressAutoHyphens w:val="true"/>
      <w:bidi w:val="0"/>
      <w:spacing w:lineRule="auto" w:line="276" w:before="0" w:after="14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hi-IN"/>
    </w:rPr>
  </w:style>
  <w:style w:type="paragraph" w:styleId="List">
    <w:name w:val="List"/>
    <w:basedOn w:val="BodyText"/>
    <w:pPr>
      <w:widowControl/>
      <w:suppressAutoHyphens w:val="true"/>
      <w:bidi w:val="0"/>
      <w:spacing w:lineRule="auto" w:line="276" w:before="0" w:after="140"/>
      <w:jc w:val="left"/>
      <w:textAlignment w:val="auto"/>
    </w:pPr>
    <w:rPr>
      <w:rFonts w:ascii="PT Astra Serif" w:hAnsi="PT Astra Serif" w:eastAsia="Times New Roman" w:cs="Noto Sans Devanagari"/>
      <w:color w:val="auto"/>
      <w:kern w:val="2"/>
      <w:sz w:val="28"/>
      <w:szCs w:val="28"/>
      <w:lang w:val="ru-RU" w:eastAsia="ru-RU" w:bidi="hi-IN"/>
    </w:rPr>
  </w:style>
  <w:style w:type="paragraph" w:styleId="Caption">
    <w:name w:val="caption"/>
    <w:basedOn w:val="Normal"/>
    <w:qFormat/>
    <w:pPr>
      <w:widowControl/>
      <w:suppressAutoHyphens w:val="true"/>
      <w:bidi w:val="0"/>
      <w:spacing w:before="120" w:after="120"/>
      <w:jc w:val="left"/>
      <w:textAlignment w:val="auto"/>
    </w:pPr>
    <w:rPr>
      <w:rFonts w:ascii="PT Astra Serif" w:hAnsi="PT Astra Serif" w:eastAsia="Times New Roman" w:cs="Noto Sans Devanagari"/>
      <w:i/>
      <w:iCs/>
      <w:color w:val="auto"/>
      <w:kern w:val="2"/>
      <w:sz w:val="24"/>
      <w:szCs w:val="24"/>
      <w:lang w:val="ru-RU" w:eastAsia="ru-RU" w:bidi="hi-IN"/>
    </w:rPr>
  </w:style>
  <w:style w:type="paragraph" w:styleId="Style17">
    <w:name w:val="Указатель"/>
    <w:basedOn w:val="Normal"/>
    <w:qFormat/>
    <w:pPr>
      <w:widowControl/>
      <w:suppressAutoHyphens w:val="true"/>
      <w:bidi w:val="0"/>
      <w:jc w:val="left"/>
      <w:textAlignment w:val="auto"/>
    </w:pPr>
    <w:rPr>
      <w:rFonts w:ascii="PT Astra Serif" w:hAnsi="PT Astra Serif" w:eastAsia="Times New Roman" w:cs="Noto Sans Devanagari"/>
      <w:color w:val="auto"/>
      <w:kern w:val="2"/>
      <w:sz w:val="28"/>
      <w:szCs w:val="28"/>
      <w:lang w:val="ru-RU" w:eastAsia="ru-RU" w:bidi="hi-IN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/>
    <w:rPr>
      <w:rFonts w:ascii="PT Astra Serif" w:hAnsi="PT Astra Serif" w:cs="Noto Sans Devanagari"/>
    </w:rPr>
  </w:style>
  <w:style w:type="paragraph" w:styleId="NormalTable">
    <w:name w:val="Normal Table"/>
    <w:qFormat/>
    <w:pPr>
      <w:widowControl/>
      <w:suppressAutoHyphens w:val="true"/>
      <w:bidi w:val="0"/>
      <w:spacing w:lineRule="auto" w:line="252" w:before="0" w:after="16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4H4p4s4444r44">
    <w:name w:val="�4H�4p�4s�4�4|�4�4r�4�4["/>
    <w:basedOn w:val="Normal"/>
    <w:qFormat/>
    <w:pPr>
      <w:keepNext w:val="true"/>
      <w:widowControl/>
      <w:suppressAutoHyphens w:val="true"/>
      <w:bidi w:val="0"/>
      <w:spacing w:before="240" w:after="120"/>
      <w:jc w:val="left"/>
      <w:textAlignment w:val="auto"/>
    </w:pPr>
    <w:rPr>
      <w:rFonts w:ascii="Calibri" w:hAnsi="Calibri" w:eastAsia="Times New Roman" w:cs="PT Astra Serif"/>
      <w:color w:val="auto"/>
      <w:kern w:val="2"/>
      <w:sz w:val="28"/>
      <w:szCs w:val="28"/>
      <w:lang w:val="ru-RU" w:eastAsia="ru-RU" w:bidi="ar-SA"/>
    </w:rPr>
  </w:style>
  <w:style w:type="paragraph" w:styleId="4O4rz4444">
    <w:name w:val="О4Oс4・н~?о?вr?н~?о?йz ?т・4е?4к?4с4・"/>
    <w:basedOn w:val="Normal"/>
    <w:qFormat/>
    <w:pPr>
      <w:widowControl/>
      <w:suppressAutoHyphens w:val="true"/>
      <w:bidi w:val="0"/>
      <w:spacing w:lineRule="auto" w:line="360"/>
      <w:jc w:val="both"/>
      <w:textAlignment w:val="auto"/>
    </w:pPr>
    <w:rPr>
      <w:rFonts w:ascii="Calibri" w:hAnsi="Calibri" w:eastAsia="Times New Roman" w:cs="Times New Roman"/>
      <w:color w:val="auto"/>
      <w:kern w:val="2"/>
      <w:sz w:val="26"/>
      <w:szCs w:val="26"/>
      <w:lang w:val="ru-RU" w:eastAsia="ru-RU" w:bidi="ar-SA"/>
    </w:rPr>
  </w:style>
  <w:style w:type="paragraph" w:styleId="4R4y44">
    <w:name w:val="�4R�4・�y?�・4�?4�"/>
    <w:basedOn w:val="4O4rz4444"/>
    <w:qFormat/>
    <w:pPr>
      <w:widowControl/>
      <w:suppressAutoHyphens w:val="true"/>
      <w:bidi w:val="0"/>
      <w:spacing w:lineRule="auto" w:line="360"/>
      <w:jc w:val="both"/>
      <w:textAlignment w:val="auto"/>
    </w:pPr>
    <w:rPr>
      <w:rFonts w:ascii="Calibri" w:hAnsi="Calibri" w:eastAsia="Times New Roman" w:cs="PT Astra Serif"/>
      <w:color w:val="auto"/>
      <w:kern w:val="2"/>
      <w:sz w:val="26"/>
      <w:szCs w:val="26"/>
      <w:lang w:val="ru-RU" w:eastAsia="ru-RU" w:bidi="ar-SA"/>
    </w:rPr>
  </w:style>
  <w:style w:type="paragraph" w:styleId="4N4p4x4r4p44y4u">
    <w:name w:val="�4N�4p�4x�4r�4p�4~�4y�4u"/>
    <w:basedOn w:val="Normal"/>
    <w:qFormat/>
    <w:pPr>
      <w:widowControl/>
      <w:suppressAutoHyphens w:val="true"/>
      <w:bidi w:val="0"/>
      <w:spacing w:before="120" w:after="120"/>
      <w:jc w:val="left"/>
      <w:textAlignment w:val="auto"/>
    </w:pPr>
    <w:rPr>
      <w:rFonts w:ascii="Calibri" w:hAnsi="Calibri" w:eastAsia="Times New Roman" w:cs="PT Astra Serif"/>
      <w:i/>
      <w:iCs/>
      <w:color w:val="auto"/>
      <w:kern w:val="2"/>
      <w:sz w:val="24"/>
      <w:szCs w:val="24"/>
      <w:lang w:val="ru-RU" w:eastAsia="ru-RU" w:bidi="ar-SA"/>
    </w:rPr>
  </w:style>
  <w:style w:type="paragraph" w:styleId="4T44p4x4p4u">
    <w:name w:val="�4T�4[�4p�4x�4p�4・�u?�|?�・"/>
    <w:basedOn w:val="Normal"/>
    <w:qFormat/>
    <w:pPr>
      <w:widowControl/>
      <w:suppressAutoHyphens w:val="true"/>
      <w:bidi w:val="0"/>
      <w:jc w:val="left"/>
      <w:textAlignment w:val="auto"/>
    </w:pPr>
    <w:rPr>
      <w:rFonts w:ascii="Calibri" w:hAnsi="Calibri" w:eastAsia="Times New Roman" w:cs="PT Astra Serif"/>
      <w:color w:val="auto"/>
      <w:kern w:val="2"/>
      <w:sz w:val="28"/>
      <w:szCs w:val="28"/>
      <w:lang w:val="ru-RU" w:eastAsia="ru-RU" w:bidi="ar-SA"/>
    </w:rPr>
  </w:style>
  <w:style w:type="paragraph" w:styleId="4B4u444444444444444444y444">
    <w:name w:val="В4Bе4uр4・х・4н?4и?4й ?4и ?4н?4и?4ж?4н?4и?4й ?4к?4о?4л?4о?4н?4т4yи4・т・4у?4л"/>
    <w:basedOn w:val="Normal"/>
    <w:qFormat/>
    <w:pPr>
      <w:widowControl/>
      <w:tabs>
        <w:tab w:val="clear" w:pos="708"/>
        <w:tab w:val="center" w:pos="4819" w:leader="none"/>
        <w:tab w:val="right" w:pos="9638" w:leader="none"/>
      </w:tabs>
      <w:suppressAutoHyphens w:val="true"/>
      <w:bidi w:val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ar-SA"/>
    </w:rPr>
  </w:style>
  <w:style w:type="paragraph" w:styleId="4K44444y44">
    <w:name w:val="К4Kо4л4|о4н4~т4・иy?т・4у4|л"/>
    <w:basedOn w:val="Normal"/>
    <w:qFormat/>
    <w:pPr>
      <w:widowControl/>
      <w:tabs>
        <w:tab w:val="clear" w:pos="708"/>
        <w:tab w:val="center" w:pos="4819" w:leader="none"/>
        <w:tab w:val="right" w:pos="9638" w:leader="none"/>
      </w:tabs>
      <w:suppressAutoHyphens w:val="true"/>
      <w:bidi w:val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ar-SA"/>
    </w:rPr>
  </w:style>
  <w:style w:type="paragraph" w:styleId="4B4u44444444444y44">
    <w:name w:val="В4Bе4uр4・х・4н?4и?4й ?4к?4о?4л?4о?4н?4т4yи4・т・4у"/>
    <w:basedOn w:val="Normal"/>
    <w:qFormat/>
    <w:pPr>
      <w:widowControl/>
      <w:tabs>
        <w:tab w:val="clear" w:pos="708"/>
        <w:tab w:val="center" w:pos="4677" w:leader="none"/>
        <w:tab w:val="right" w:pos="9355" w:leader="none"/>
      </w:tabs>
      <w:suppressAutoHyphens w:val="true"/>
      <w:bidi w:val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ar-SA"/>
    </w:rPr>
  </w:style>
  <w:style w:type="paragraph" w:styleId="4S4u4444444y">
    <w:name w:val="Т4Sе4uк4[с4・т・?4в?4ы4~н4о4・с[?кy"/>
    <w:basedOn w:val="Normal"/>
    <w:qFormat/>
    <w:pPr>
      <w:widowControl/>
      <w:suppressAutoHyphens w:val="true"/>
      <w:bidi w:val="0"/>
      <w:jc w:val="left"/>
      <w:textAlignment w:val="auto"/>
    </w:pPr>
    <w:rPr>
      <w:rFonts w:ascii="Calibri" w:hAnsi="Calibri" w:eastAsia="Times New Roman" w:cs="Tahoma"/>
      <w:color w:val="auto"/>
      <w:kern w:val="2"/>
      <w:sz w:val="16"/>
      <w:szCs w:val="16"/>
      <w:lang w:val="ru-RU" w:eastAsia="ru-RU" w:bidi="ar-SA"/>
    </w:rPr>
  </w:style>
  <w:style w:type="paragraph" w:styleId="4N4y4w44y4z444444y44">
    <w:name w:val="Н4Nи4yж4wн4~и4yй4z к4[о4л4|о4н4~т4・иy?т・4у4|л"/>
    <w:basedOn w:val="Normal"/>
    <w:qFormat/>
    <w:pPr>
      <w:widowControl/>
      <w:tabs>
        <w:tab w:val="clear" w:pos="708"/>
        <w:tab w:val="center" w:pos="4677" w:leader="none"/>
        <w:tab w:val="right" w:pos="9355" w:leader="none"/>
      </w:tabs>
      <w:suppressAutoHyphens w:val="true"/>
      <w:bidi w:val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Times New Roman" w:cs="Courier New"/>
      <w:color w:val="auto"/>
      <w:kern w:val="2"/>
      <w:sz w:val="20"/>
      <w:szCs w:val="20"/>
      <w:lang w:val="ru-RU" w:eastAsia="ru-RU" w:bidi="hi-IN"/>
    </w:rPr>
  </w:style>
  <w:style w:type="paragraph" w:styleId="Style71">
    <w:name w:val="Style7"/>
    <w:basedOn w:val="Normal"/>
    <w:qFormat/>
    <w:pPr>
      <w:widowControl w:val="false"/>
      <w:suppressAutoHyphens w:val="true"/>
      <w:bidi w:val="0"/>
      <w:spacing w:lineRule="exact" w:line="645"/>
      <w:ind w:firstLine="927"/>
      <w:jc w:val="both"/>
      <w:textAlignment w:val="auto"/>
    </w:pPr>
    <w:rPr>
      <w:rFonts w:ascii="Calibri" w:hAnsi="Calibri" w:eastAsia="Times New Roman" w:cs="Times New Roman"/>
      <w:color w:val="auto"/>
      <w:kern w:val="2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hi-IN"/>
    </w:rPr>
  </w:style>
  <w:style w:type="paragraph" w:styleId="4R44t4u4wyur4444">
    <w:name w:val="С4Rо4д4tе4uр4・жw?иy?м]?о?еu ?вr?р・4е?4з?4к?4и"/>
    <w:basedOn w:val="Normal"/>
    <w:qFormat/>
    <w:pPr>
      <w:widowControl/>
      <w:suppressAutoHyphens w:val="true"/>
      <w:bidi w:val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ar-SA"/>
    </w:rPr>
  </w:style>
  <w:style w:type="paragraph" w:styleId="4R44t4u4wyu444444">
    <w:name w:val="С4Rо4д4tе4uр4・жw?иy?м]?о?еu ?т・4а?4б?4л?4и?4ц4・"/>
    <w:basedOn w:val="Normal"/>
    <w:qFormat/>
    <w:pPr>
      <w:widowControl w:val="false"/>
      <w:suppressAutoHyphens w:val="true"/>
      <w:bidi w:val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ar-SA"/>
    </w:rPr>
  </w:style>
  <w:style w:type="paragraph" w:styleId="4H4p4s4444r444pqy4">
    <w:name w:val="З4Hа4pг4sо4л4|о4в4rо4к4[ т4・аp?бq?л|?иy?ц・4ы"/>
    <w:basedOn w:val="4R44t4u4wyu444444"/>
    <w:qFormat/>
    <w:pPr>
      <w:widowControl w:val="false"/>
      <w:suppressAutoHyphens w:val="true"/>
      <w:bidi w:val="0"/>
      <w:jc w:val="center"/>
      <w:textAlignment w:val="auto"/>
    </w:pPr>
    <w:rPr>
      <w:rFonts w:ascii="Calibri" w:hAnsi="Calibri" w:eastAsia="Times New Roman" w:cs="Times New Roman"/>
      <w:b/>
      <w:bCs/>
      <w:color w:val="auto"/>
      <w:kern w:val="2"/>
      <w:sz w:val="28"/>
      <w:szCs w:val="28"/>
      <w:lang w:val="ru-RU" w:eastAsia="ru-RU" w:bidi="ar-SA"/>
    </w:rPr>
  </w:style>
  <w:style w:type="paragraph" w:styleId="NormalWeb">
    <w:name w:val="Normal (Web)"/>
    <w:basedOn w:val="Normal"/>
    <w:qFormat/>
    <w:pPr>
      <w:widowControl/>
      <w:suppressAutoHyphens w:val="true"/>
      <w:bidi w:val="0"/>
      <w:spacing w:beforeAutospacing="1" w:afterAutospacing="1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hi-IN"/>
    </w:rPr>
  </w:style>
  <w:style w:type="paragraph" w:styleId="Style18">
    <w:name w:val="Колонтитул"/>
    <w:basedOn w:val="Normal"/>
    <w:qFormat/>
    <w:pPr>
      <w:widowControl/>
      <w:suppressAutoHyphens w:val="true"/>
      <w:bidi w:val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hi-IN"/>
    </w:rPr>
  </w:style>
  <w:style w:type="paragraph" w:styleId="Style19">
    <w:name w:val="Колонтитулы"/>
    <w:basedOn w:val="Normal"/>
    <w:qFormat/>
    <w:pPr>
      <w:widowControl/>
      <w:suppressAutoHyphens w:val="true"/>
      <w:bidi w:val="0"/>
      <w:jc w:val="left"/>
      <w:textAlignment w:val="auto"/>
    </w:pPr>
    <w:rPr>
      <w:rFonts w:ascii="Calibri" w:hAnsi="Calibri" w:eastAsia="Times New Roman" w:cs="Times New Roman"/>
      <w:color w:val="auto"/>
      <w:kern w:val="2"/>
      <w:sz w:val="28"/>
      <w:szCs w:val="28"/>
      <w:lang w:val="ru-RU" w:eastAsia="ru-RU" w:bidi="hi-IN"/>
    </w:rPr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  <w:suppressAutoHyphens w:val="true"/>
      <w:bidi w:val="0"/>
      <w:jc w:val="left"/>
      <w:textAlignment w:val="auto"/>
    </w:pPr>
    <w:rPr>
      <w:rFonts w:ascii="Calibri" w:hAnsi="Calibri" w:eastAsia="Times New Roman" w:cs="Mangal"/>
      <w:color w:val="auto"/>
      <w:kern w:val="2"/>
      <w:sz w:val="28"/>
      <w:szCs w:val="25"/>
      <w:lang w:val="ru-RU" w:eastAsia="ru-RU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  <w:suppressAutoHyphens w:val="true"/>
      <w:bidi w:val="0"/>
      <w:jc w:val="left"/>
      <w:textAlignment w:val="auto"/>
    </w:pPr>
    <w:rPr>
      <w:rFonts w:ascii="Calibri" w:hAnsi="Calibri" w:eastAsia="Times New Roman" w:cs="Mangal"/>
      <w:color w:val="auto"/>
      <w:kern w:val="2"/>
      <w:sz w:val="28"/>
      <w:szCs w:val="25"/>
      <w:lang w:val="ru-RU" w:eastAsia="ru-RU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209</TotalTime>
  <Application>LibreOffice/25.2.3.2$Linux_X86_64 LibreOffice_project/520$Build-2</Application>
  <AppVersion>15.0000</AppVersion>
  <Pages>3</Pages>
  <Words>637</Words>
  <Characters>4877</Characters>
  <CharactersWithSpaces>5501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2022-06-15T17:59:00Z</dcterms:created>
  <dc:creator>miheeva_iv</dc:creator>
  <dc:description/>
  <dc:language>ru-RU</dc:language>
  <cp:lastModifiedBy/>
  <cp:lastPrinted>2026-04-16T18:23:59Z</cp:lastPrinted>
  <dcterms:modified xsi:type="dcterms:W3CDTF">2026-09-15T09:38:39Z</dcterms:modified>
  <cp:revision>11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Дугина Юлия Сергеевна</vt:lpwstr>
  </property>
</Properties>
</file>