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rPr>
          <w:szCs w:val="28"/>
        </w:rPr>
      </w:pPr>
      <w:r>
        <w:rPr>
          <w:szCs w:val="28"/>
        </w:rPr>
        <w:t xml:space="preserve">ФИНАНСОВО-ЭКОНОМИЧЕСКОЕ ОБОСНОВАНИЕ</w:t>
      </w:r>
      <w:r>
        <w:rPr>
          <w:szCs w:val="28"/>
        </w:rPr>
      </w:r>
      <w:r>
        <w:rPr>
          <w:szCs w:val="28"/>
        </w:rPr>
      </w:r>
    </w:p>
    <w:p>
      <w:pPr>
        <w:pStyle w:val="865"/>
        <w:ind w:right="0"/>
        <w:jc w:val="center"/>
        <w:rPr>
          <w:rFonts w:ascii="Times New Roman" w:hAnsi="Times New Roman"/>
          <w:b w:val="0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проект</w:t>
      </w:r>
      <w:r>
        <w:rPr>
          <w:rFonts w:ascii="Times New Roman" w:hAnsi="Times New Roman"/>
          <w:b w:val="0"/>
          <w:sz w:val="28"/>
          <w:szCs w:val="28"/>
        </w:rPr>
        <w:t xml:space="preserve">а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закона </w:t>
      </w:r>
      <w:r>
        <w:rPr>
          <w:rFonts w:ascii="Times New Roman" w:hAnsi="Times New Roman"/>
          <w:b w:val="0"/>
          <w:sz w:val="28"/>
          <w:szCs w:val="28"/>
        </w:rPr>
        <w:t xml:space="preserve">Приморского </w:t>
      </w:r>
      <w:r>
        <w:rPr>
          <w:rFonts w:ascii="Times New Roman" w:hAnsi="Times New Roman"/>
          <w:b w:val="0"/>
          <w:sz w:val="28"/>
          <w:szCs w:val="28"/>
        </w:rPr>
        <w:t xml:space="preserve">края </w:t>
      </w:r>
      <w:r>
        <w:rPr>
          <w:rFonts w:ascii="Times New Roman" w:hAnsi="Times New Roman" w:cs="Arial"/>
          <w:b w:val="0"/>
          <w:bCs/>
          <w:sz w:val="28"/>
          <w:szCs w:val="28"/>
          <w:lang w:eastAsia="ar-SA"/>
        </w:rPr>
        <w:t xml:space="preserve">«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О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внесении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изменений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в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статью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12</w:t>
      </w:r>
      <w:r>
        <w:rPr>
          <w:rFonts w:ascii="Times New Roman" w:hAnsi="Times New Roman"/>
          <w:b w:val="0"/>
          <w:color w:val="000000"/>
          <w:sz w:val="28"/>
          <w:szCs w:val="28"/>
          <w:vertAlign w:val="superscript"/>
          <w:lang w:eastAsia="ar-SA"/>
        </w:rPr>
        <w:t xml:space="preserve">2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</w:r>
    </w:p>
    <w:p>
      <w:pPr>
        <w:pStyle w:val="865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Закона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Приморского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края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«Об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 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образовании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в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Приморском</w:t>
      </w:r>
      <w:r>
        <w:rPr>
          <w:rFonts w:ascii="Times New Roman" w:hAnsi="Times New Roman"/>
          <w:b w:val="0"/>
          <w:color w:val="000000"/>
          <w:sz w:val="28"/>
          <w:szCs w:val="28"/>
          <w:lang w:eastAsia="ar-SA"/>
        </w:rPr>
        <w:t xml:space="preserve"> </w:t>
      </w:r>
      <w:r>
        <w:rPr>
          <w:rFonts w:hint="eastAsia" w:ascii="Times New Roman" w:hAnsi="Times New Roman"/>
          <w:b w:val="0"/>
          <w:color w:val="000000"/>
          <w:sz w:val="28"/>
          <w:szCs w:val="28"/>
          <w:lang w:eastAsia="ar-SA"/>
        </w:rPr>
        <w:t xml:space="preserve">крае»</w:t>
      </w:r>
      <w:r>
        <w:rPr>
          <w:rFonts w:ascii="Times New Roman" w:hAnsi="Times New Roman"/>
          <w:b w:val="0"/>
          <w:sz w:val="28"/>
          <w:szCs w:val="28"/>
        </w:rPr>
      </w:r>
      <w:r>
        <w:rPr>
          <w:rFonts w:ascii="Times New Roman" w:hAnsi="Times New Roman"/>
          <w:b w:val="0"/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Принятие п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роекта закона Приморского края «О внесении изменений в статью 12</w:t>
      </w:r>
      <w:r>
        <w:rPr>
          <w:rFonts w:ascii="Times New Roman" w:hAnsi="Times New Roman" w:cs="Times New Roman"/>
          <w:b w:val="0"/>
          <w:spacing w:val="2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Закона Приморского края «Об образовании в Приморском крае» (далее – законопроект) </w:t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  <w:t xml:space="preserve">не потребует дополнительных расходов за</w:t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  <w:t xml:space="preserve"> счет средств краевого бюджета в 2026</w:t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  <w:t xml:space="preserve">году и плановом периоде 2027 и 2028 годов.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p>
      <w:pPr>
        <w:pStyle w:val="857"/>
        <w:ind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  <w:t xml:space="preserve">Обеспечение питанием отдельных категорий обучающихся 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  <w:t xml:space="preserve">государственных (краевых) профессиональных образовательных организаций осуществляют министерство профессионального образования и занятости населения Приморского края, министерство здравоохранения Приморского края 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  <w:t xml:space="preserve">и министерство культуры и архивного дела Приморского края.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p>
      <w:pPr>
        <w:pStyle w:val="857"/>
        <w:ind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В Законе Приморского края от 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17.12.2025 № 930-КЗ «О краевом бюджете на 2026 год и плановый период 2027 и 2028 годов»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 на организацию питания обучающихся 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государственных (краевых) профессиональных образовательных организаций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предусмотрены средства в объеме: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tbl>
      <w:tblPr>
        <w:tblStyle w:val="708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4252"/>
        <w:gridCol w:w="1689"/>
        <w:gridCol w:w="1689"/>
        <w:gridCol w:w="168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Align w:val="center"/>
            <w:vMerge w:val="restart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№ пп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vAlign w:val="center"/>
            <w:vMerge w:val="restart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наименование главного распорядителя средств краевого бюджета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68" w:type="dxa"/>
            <w:vAlign w:val="center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объем финансового обеспечения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</w:tcBorders>
            <w:tcW w:w="1689" w:type="dxa"/>
            <w:vAlign w:val="center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2026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W w:w="1689" w:type="dxa"/>
            <w:vAlign w:val="center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2027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W w:w="1689" w:type="dxa"/>
            <w:vAlign w:val="center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2028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профессионального образования и занятости населения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228 298 120,0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243 298 120,0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243 298 120,0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здравоохранения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22 509 000,0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22 509 000,0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22 509 000,0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культуры и архивного дела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11 445 500,0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11 445 500,0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11 445 500,0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262 252 620,0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277 252 620,0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89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277 252 620,0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</w:tbl>
    <w:p>
      <w:pPr>
        <w:pStyle w:val="857"/>
        <w:ind w:firstLine="0"/>
        <w:jc w:val="both"/>
        <w:spacing w:line="336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yellow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yellow"/>
        </w:rPr>
      </w:r>
    </w:p>
    <w:p>
      <w:pPr>
        <w:pStyle w:val="857"/>
        <w:ind w:firstLine="0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  <w:t xml:space="preserve"> </w:t>
        <w:tab/>
        <w:t xml:space="preserve">Обеспечение питанием осуществляется в учебные дни. В каникулярные, выходные и праздничные дни обеспечение питанием не осуществляется.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p>
      <w:pPr>
        <w:pStyle w:val="857"/>
        <w:ind w:firstLine="0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  <w:t xml:space="preserve"> </w:t>
        <w:tab/>
        <w:t xml:space="preserve">Во 2 полугодии 2025/2026 учебного года (январь - июнь) объем затрат на обеспечение питанием составил: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tbl>
      <w:tblPr>
        <w:tblStyle w:val="708"/>
        <w:tblW w:w="0" w:type="auto"/>
        <w:tblLayout w:type="fixed"/>
        <w:tblLook w:val="04A0" w:firstRow="1" w:lastRow="0" w:firstColumn="1" w:lastColumn="0" w:noHBand="0" w:noVBand="1"/>
      </w:tblPr>
      <w:tblGrid>
        <w:gridCol w:w="806"/>
        <w:gridCol w:w="6431"/>
        <w:gridCol w:w="2650"/>
      </w:tblGrid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vAlign w:val="center"/>
            <w:vMerge w:val="restart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№ пп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vAlign w:val="center"/>
            <w:vMerge w:val="restart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наименование главного распорядителя средств краевого бюджета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vAlign w:val="center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кассовое исполнение по состоянию на 01.07.2026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профессионального образования и занятости населения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jc w:val="center"/>
            </w:pPr>
            <w:r>
              <w:t xml:space="preserve">107 958 990,0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здравоохранения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13 998 000,0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культуры и архивного дела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6 552 250,0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128 509 240,0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</w:tbl>
    <w:p>
      <w:pPr>
        <w:pStyle w:val="857"/>
        <w:ind w:firstLine="0"/>
        <w:jc w:val="both"/>
        <w:spacing w:line="336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p>
      <w:pPr>
        <w:pStyle w:val="857"/>
        <w:ind w:firstLine="0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  <w:t xml:space="preserve"> </w:t>
        <w:tab/>
        <w:t xml:space="preserve">Остаток средств на обеспечение питанием в 1 полугодии 2026/2027 учебного года (сентябрь - декабрь) составляет: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tbl>
      <w:tblPr>
        <w:tblStyle w:val="708"/>
        <w:tblW w:w="0" w:type="auto"/>
        <w:tblLayout w:type="fixed"/>
        <w:tblLook w:val="04A0" w:firstRow="1" w:lastRow="0" w:firstColumn="1" w:lastColumn="0" w:noHBand="0" w:noVBand="1"/>
      </w:tblPr>
      <w:tblGrid>
        <w:gridCol w:w="806"/>
        <w:gridCol w:w="6431"/>
        <w:gridCol w:w="2650"/>
      </w:tblGrid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vAlign w:val="center"/>
            <w:vMerge w:val="restart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№ пп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vAlign w:val="center"/>
            <w:vMerge w:val="restart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наименование главного распорядителя средств краевого бюджета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vAlign w:val="center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кассовое исполнение по состоянию на 01.07.2026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профессионального образования и занятости населения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jc w:val="center"/>
            </w:pPr>
            <w:r>
              <w:t xml:space="preserve">120 339 130,0</w:t>
            </w:r>
            <w:r/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здравоохранения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8 511 000,0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3.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министерство культуры и архивного дела Приморского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  <w:t xml:space="preserve">4 893 250,0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6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31" w:type="dxa"/>
            <w:textDirection w:val="lrTb"/>
            <w:noWrap w:val="false"/>
          </w:tcPr>
          <w:p>
            <w:pPr>
              <w:pStyle w:val="857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0" w:type="dxa"/>
            <w:textDirection w:val="lrTb"/>
            <w:noWrap w:val="false"/>
          </w:tcPr>
          <w:p>
            <w:pPr>
              <w:pStyle w:val="857"/>
              <w:jc w:val="center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  <w:t xml:space="preserve">133 743 380,0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highlight w:val="none"/>
              </w:rPr>
            </w:r>
          </w:p>
        </w:tc>
      </w:tr>
    </w:tbl>
    <w:p>
      <w:pPr>
        <w:pStyle w:val="857"/>
        <w:ind w:firstLine="0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p>
      <w:pPr>
        <w:pStyle w:val="857"/>
        <w:ind w:firstLine="0"/>
        <w:jc w:val="both"/>
        <w:spacing w:line="360" w:lineRule="auto"/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  <w:t xml:space="preserve"> </w:t>
        <w:tab/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аким образом, принятие 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законопроекта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 не потребует внесения изменений в Закон Приморского края от 19.12.2024 № 692-КЗ «О краевом бюджете на 2025 год и плановый период 2026 и 2027 годов» в части увеличения объемов финансирования на обеспечение питанием по м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white"/>
        </w:rPr>
        <w:t xml:space="preserve">инистерству профессионального образования и занятости населения Приморского края, министерству здравоохранения Приморского края и министерству культуры и архивного дела Приморского края.</w:t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pacing w:val="2"/>
          <w:sz w:val="28"/>
          <w:szCs w:val="28"/>
          <w:highlight w:val="none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</w:p>
    <w:p>
      <w:pPr>
        <w:pStyle w:val="857"/>
        <w:ind w:firstLine="709"/>
        <w:jc w:val="both"/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  <w:r>
        <w:rPr>
          <w:rFonts w:ascii="Times New Roman" w:hAnsi="Times New Roman" w:cs="Times New Roman"/>
          <w:b w:val="0"/>
          <w:color w:val="000000"/>
          <w:spacing w:val="2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6"/>
        <w:gridCol w:w="492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top"/>
            <w:textDirection w:val="lrTb"/>
            <w:noWrap w:val="false"/>
          </w:tcPr>
          <w:p>
            <w:pPr>
              <w:pStyle w:val="852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Министр профессионального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образования и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занятости населения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Приморского края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vAlign w:val="top"/>
            <w:textDirection w:val="lrTb"/>
            <w:noWrap w:val="false"/>
          </w:tcPr>
          <w:p>
            <w:pPr>
              <w:pStyle w:val="85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pStyle w:val="85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  <w:p>
            <w:pPr>
              <w:pStyle w:val="852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С.В. Дубовицкий</w:t>
            </w:r>
            <w:r>
              <w:rPr>
                <w:rFonts w:eastAsia="Calibri"/>
                <w:sz w:val="28"/>
                <w:szCs w:val="28"/>
                <w:lang w:eastAsia="en-US"/>
              </w:rPr>
            </w: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1" w:bottom="851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rPr>
      <w:sz w:val="26"/>
      <w:lang w:val="ru-RU" w:eastAsia="ru-RU" w:bidi="ar-SA"/>
    </w:rPr>
  </w:style>
  <w:style w:type="character" w:styleId="853">
    <w:name w:val="Основной шрифт абзаца"/>
    <w:next w:val="853"/>
    <w:link w:val="852"/>
    <w:semiHidden/>
  </w:style>
  <w:style w:type="table" w:styleId="854">
    <w:name w:val="Обычная таблица"/>
    <w:next w:val="854"/>
    <w:link w:val="852"/>
    <w:semiHidden/>
    <w:tblPr/>
  </w:style>
  <w:style w:type="numbering" w:styleId="855">
    <w:name w:val="Нет списка"/>
    <w:next w:val="855"/>
    <w:link w:val="852"/>
    <w:semiHidden/>
  </w:style>
  <w:style w:type="paragraph" w:styleId="856">
    <w:name w:val="Название"/>
    <w:basedOn w:val="852"/>
    <w:next w:val="856"/>
    <w:link w:val="852"/>
    <w:qFormat/>
    <w:pPr>
      <w:jc w:val="center"/>
      <w:spacing w:line="360" w:lineRule="auto"/>
    </w:pPr>
    <w:rPr>
      <w:b/>
      <w:sz w:val="28"/>
    </w:rPr>
  </w:style>
  <w:style w:type="paragraph" w:styleId="857">
    <w:name w:val="ConsPlusTitle"/>
    <w:next w:val="857"/>
    <w:link w:val="852"/>
    <w:pPr>
      <w:widowControl w:val="off"/>
    </w:pPr>
    <w:rPr>
      <w:rFonts w:ascii="Arial" w:hAnsi="Arial" w:cs="Arial"/>
      <w:b/>
      <w:bCs/>
      <w:lang w:val="ru-RU" w:eastAsia="ru-RU" w:bidi="ar-SA"/>
    </w:rPr>
  </w:style>
  <w:style w:type="table" w:styleId="858">
    <w:name w:val="Сетка таблицы"/>
    <w:basedOn w:val="854"/>
    <w:next w:val="858"/>
    <w:link w:val="852"/>
    <w:tblPr/>
  </w:style>
  <w:style w:type="paragraph" w:styleId="859">
    <w:name w:val="Текст выноски"/>
    <w:basedOn w:val="852"/>
    <w:next w:val="859"/>
    <w:link w:val="860"/>
    <w:rPr>
      <w:rFonts w:ascii="Tahoma" w:hAnsi="Tahoma"/>
      <w:sz w:val="16"/>
      <w:szCs w:val="16"/>
      <w:lang w:val="en-US" w:eastAsia="en-US"/>
    </w:rPr>
  </w:style>
  <w:style w:type="character" w:styleId="860">
    <w:name w:val="Текст выноски Знак"/>
    <w:next w:val="860"/>
    <w:link w:val="859"/>
    <w:rPr>
      <w:rFonts w:ascii="Tahoma" w:hAnsi="Tahoma" w:cs="Tahoma"/>
      <w:sz w:val="16"/>
      <w:szCs w:val="16"/>
    </w:rPr>
  </w:style>
  <w:style w:type="paragraph" w:styleId="861">
    <w:name w:val="Верхний колонтитул"/>
    <w:basedOn w:val="852"/>
    <w:next w:val="861"/>
    <w:link w:val="862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62">
    <w:name w:val="Верхний колонтитул Знак"/>
    <w:next w:val="862"/>
    <w:link w:val="861"/>
    <w:uiPriority w:val="99"/>
    <w:rPr>
      <w:sz w:val="26"/>
    </w:rPr>
  </w:style>
  <w:style w:type="paragraph" w:styleId="863">
    <w:name w:val="Нижний колонтитул"/>
    <w:basedOn w:val="852"/>
    <w:next w:val="863"/>
    <w:link w:val="864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64">
    <w:name w:val="Нижний колонтитул Знак"/>
    <w:next w:val="864"/>
    <w:link w:val="863"/>
    <w:rPr>
      <w:sz w:val="26"/>
    </w:rPr>
  </w:style>
  <w:style w:type="paragraph" w:styleId="865">
    <w:name w:val="ConsTitle"/>
    <w:next w:val="865"/>
    <w:link w:val="852"/>
    <w:pPr>
      <w:ind w:right="19772"/>
      <w:widowControl w:val="off"/>
    </w:pPr>
    <w:rPr>
      <w:rFonts w:ascii="Arial" w:hAnsi="Arial"/>
      <w:b/>
      <w:sz w:val="16"/>
      <w:lang w:val="ru-RU" w:eastAsia="ru-RU" w:bidi="ar-SA"/>
    </w:rPr>
  </w:style>
  <w:style w:type="paragraph" w:styleId="866">
    <w:name w:val="ConsPlusNormal"/>
    <w:next w:val="866"/>
    <w:link w:val="852"/>
    <w:rPr>
      <w:sz w:val="28"/>
      <w:szCs w:val="28"/>
      <w:lang w:val="ru-RU" w:eastAsia="ru-RU" w:bidi="ar-SA"/>
    </w:rPr>
  </w:style>
  <w:style w:type="character" w:styleId="867">
    <w:name w:val="Основной текст + Полужирный"/>
    <w:next w:val="867"/>
    <w:link w:val="852"/>
    <w:uiPriority w:val="99"/>
    <w:rPr>
      <w:rFonts w:ascii="Times New Roman" w:hAnsi="Times New Roman" w:cs="Times New Roman"/>
      <w:b/>
      <w:bCs/>
      <w:spacing w:val="0"/>
      <w:sz w:val="25"/>
      <w:szCs w:val="25"/>
    </w:rPr>
  </w:style>
  <w:style w:type="character" w:styleId="868" w:default="1">
    <w:name w:val="Default Paragraph Font"/>
    <w:uiPriority w:val="1"/>
    <w:semiHidden/>
    <w:unhideWhenUsed/>
  </w:style>
  <w:style w:type="numbering" w:styleId="869" w:default="1">
    <w:name w:val="No List"/>
    <w:uiPriority w:val="99"/>
    <w:semiHidden/>
    <w:unhideWhenUsed/>
  </w:style>
  <w:style w:type="table" w:styleId="87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education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Pastuhova_TA</dc:creator>
  <cp:lastModifiedBy>baeva_lv</cp:lastModifiedBy>
  <cp:revision>18</cp:revision>
  <dcterms:created xsi:type="dcterms:W3CDTF">2022-03-04T05:37:00Z</dcterms:created>
  <dcterms:modified xsi:type="dcterms:W3CDTF">2026-08-07T05:09:22Z</dcterms:modified>
  <cp:version>1048576</cp:version>
</cp:coreProperties>
</file>