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ind w:hanging="0" w:left="6372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cs="Times New Roman" w:ascii="Times New Roman" w:hAnsi="Times New Roman"/>
          <w:sz w:val="24"/>
          <w:szCs w:val="24"/>
        </w:rPr>
        <w:t xml:space="preserve">Проект внесен Губернатором Приморского края </w:t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cs="Times New Roman" w:ascii="Times New Roman" w:hAnsi="Times New Roman"/>
          <w:b/>
          <w:sz w:val="28"/>
          <w:szCs w:val="28"/>
        </w:rPr>
        <w:t>З А К О Н   П Р И М О Р С КО Г О  К Р А Я</w:t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cs="Times New Roman" w:ascii="Times New Roman" w:hAnsi="Times New Roman"/>
          <w:b/>
          <w:sz w:val="28"/>
          <w:szCs w:val="28"/>
        </w:rPr>
        <w:t>О ВНЕСЕНИИ ИЗМЕНЕНИЙ В ОТДЕЛЬНЫЕ</w:t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cs="Times New Roman" w:ascii="Times New Roman" w:hAnsi="Times New Roman"/>
          <w:b/>
          <w:sz w:val="28"/>
          <w:szCs w:val="28"/>
        </w:rPr>
        <w:t>ЗАКОНОДАТЕЛЬНЫЕ АКТЫ ПРИМОРСКОГО КРАЯ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trike w:val="false"/>
          <w:dstrike w:val="false"/>
          <w:sz w:val="28"/>
          <w:szCs w:val="28"/>
          <w:shd w:fill="auto" w:val="clear"/>
        </w:rPr>
        <w:t xml:space="preserve">Принят Законодательным Собранием Приморского края 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>СТ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АТЬЯ 1.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Внести в Закон Приморского края от 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0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4 марта 2020 года                                    № 735-КЗ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О санаторно-курортном лечении отдельных категорий граждан в Приморском крае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" следующие 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изменения: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1)в части 1 статьи 1: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а)в пункте 1 слова "18 дней" заменить словами "14 дней";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б)в пункте 2 слова "от 14 до 18 дней" заменить словами "от 10 до</w:t>
        <w:br/>
        <w:t xml:space="preserve">14 дней"; 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2)в статье 2: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/>
        </w:rPr>
        <w:t xml:space="preserve">а)в части 2: </w:t>
      </w:r>
    </w:p>
    <w:p>
      <w:pPr>
        <w:pStyle w:val="Normal"/>
        <w:spacing w:lineRule="atLeast" w:line="288" w:before="0" w:after="0"/>
        <w:ind w:firstLine="720" w:left="0" w:right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shd w:fill="auto" w:val="clear"/>
        </w:rPr>
        <w:t xml:space="preserve">в абзаце первом слова "исходя из даты подачи заявлений указанными гражданами" исключить; </w:t>
      </w:r>
    </w:p>
    <w:p>
      <w:pPr>
        <w:pStyle w:val="Normal"/>
        <w:spacing w:lineRule="atLeast" w:line="288" w:before="0" w:after="0"/>
        <w:ind w:firstLine="720" w:left="0" w:right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shd w:fill="auto" w:val="clear"/>
        </w:rPr>
        <w:t xml:space="preserve">абзац второй признать утратившим силу; 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б)часть 3 изложить в следующей редакции: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"3.Право на внеочередное получение путевок на санаторно-курортное лечение имеют: 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граждане, указанные в пунктах 1 - 8 части 1 настоящей статьи,</w:t>
        <w:br/>
        <w:t>в случае наличия ходатайства региональных общественных объединений, созданных в целях защиты интересов ветеранов, проживающих на территории Приморского края;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граждане, указанные в части 1 настоящей статьи, в случае отнесения их к категории лиц, указанных в пункте 1 Указа Президента Российской Федерации от 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Федерации".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;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i w:val="false"/>
          <w:iCs w:val="false"/>
          <w:sz w:val="28"/>
          <w:szCs w:val="28"/>
          <w:shd w:fill="auto" w:val="clear"/>
        </w:rPr>
        <w:t>в)в части 3</w:t>
      </w:r>
      <w:r>
        <w:rPr>
          <w:rFonts w:eastAsia="Times New Roman" w:cs="Times New Roman" w:ascii="Times New Roman" w:hAnsi="Times New Roman"/>
          <w:i w:val="false"/>
          <w:iCs w:val="false"/>
          <w:sz w:val="28"/>
          <w:szCs w:val="28"/>
          <w:shd w:fill="auto" w:val="clear"/>
          <w:vertAlign w:val="superscript"/>
        </w:rPr>
        <w:t xml:space="preserve">1 </w:t>
      </w:r>
      <w:r>
        <w:rPr>
          <w:rFonts w:eastAsia="Times New Roman" w:cs="Times New Roman" w:ascii="Times New Roman" w:hAnsi="Times New Roman"/>
          <w:i w:val="false"/>
          <w:iCs w:val="false"/>
          <w:color w:val="auto"/>
          <w:position w:val="0"/>
          <w:sz w:val="28"/>
          <w:szCs w:val="28"/>
          <w:shd w:fill="auto" w:val="clear"/>
          <w:vertAlign w:val="baseline"/>
          <w:lang w:val="ru-RU" w:eastAsia="en-US" w:bidi="ar-SA"/>
        </w:rPr>
        <w:t xml:space="preserve">исключить </w:t>
      </w:r>
      <w:r>
        <w:rPr>
          <w:rFonts w:eastAsia="Times New Roman" w:cs="Times New Roman" w:ascii="Times New Roman" w:hAnsi="Times New Roman"/>
          <w:i w:val="false"/>
          <w:iCs w:val="false"/>
          <w:position w:val="0"/>
          <w:sz w:val="28"/>
          <w:szCs w:val="28"/>
          <w:shd w:fill="auto" w:val="clear"/>
          <w:vertAlign w:val="baseline"/>
        </w:rPr>
        <w:t>слова "пунктах 1-8";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3)в статье 3: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а)в части 1: 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пункт 6 дополнить словами ", не являющиеся инвалидами I или</w:t>
        <w:br/>
        <w:t>II группы";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пункт 6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vertAlign w:val="superscript"/>
        </w:rPr>
        <w:t>1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 дополнить словами ", не являющиеся инвалидами I или</w:t>
        <w:br/>
        <w:t>II группы";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б)часть 4 изложить в следующей редакции: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i w:val="false"/>
          <w:iCs w:val="false"/>
          <w:color w:val="000000"/>
          <w:sz w:val="28"/>
          <w:szCs w:val="28"/>
          <w:shd w:fill="auto" w:val="clear"/>
        </w:rPr>
        <w:t xml:space="preserve">"4.Гражданам, указанным в пунктах </w:t>
      </w:r>
      <w:r>
        <w:rPr>
          <w:rFonts w:ascii="Times New Roman" w:hAnsi="Times New Roman"/>
          <w:b w:val="false"/>
          <w:i w:val="false"/>
          <w:iCs w:val="false"/>
          <w:color w:val="auto"/>
          <w:sz w:val="28"/>
          <w:szCs w:val="28"/>
          <w:shd w:fill="auto" w:val="clear"/>
        </w:rPr>
        <w:t xml:space="preserve">2, 3, 4, 5 </w:t>
      </w:r>
      <w:r>
        <w:rPr>
          <w:rFonts w:ascii="Times New Roman" w:hAnsi="Times New Roman"/>
          <w:b w:val="false"/>
          <w:i w:val="false"/>
          <w:iCs w:val="false"/>
          <w:color w:val="000000"/>
          <w:sz w:val="28"/>
          <w:szCs w:val="28"/>
          <w:shd w:fill="auto" w:val="clear"/>
        </w:rPr>
        <w:t>части 1 настоящей статьи, социальная выплата предоставляется в порядке общей очереди.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Право на внеочередное предоставление социальной выплаты имеют граждане, указанные в пунктах 1, 3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vertAlign w:val="superscript"/>
        </w:rPr>
        <w:t>1,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, 6 - 7 части 1 настоящей статьи,  а также граждане, указанные в пунктах 2, 3, 4, 5 части 1 настоящей статьи, в случае отнесения их к категории лиц, указанных в пункте 1 Указа Президента Российской Федерации от 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Федерации".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;</w:t>
      </w:r>
    </w:p>
    <w:p>
      <w:pPr>
        <w:pStyle w:val="Normal"/>
        <w:tabs>
          <w:tab w:val="clear" w:pos="720"/>
          <w:tab w:val="left" w:pos="2120" w:leader="none"/>
        </w:tabs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в)в абзаце шестом части 6 исключить слова "пунктах 1-7";</w:t>
      </w:r>
    </w:p>
    <w:p>
      <w:pPr>
        <w:pStyle w:val="Normal"/>
        <w:tabs>
          <w:tab w:val="clear" w:pos="720"/>
          <w:tab w:val="left" w:pos="2120" w:leader="none"/>
        </w:tabs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shd w:fill="auto" w:val="clear"/>
        </w:rPr>
        <w:t>г)абзац третий части 9 изложить в следующей редакции:</w:t>
      </w:r>
    </w:p>
    <w:p>
      <w:pPr>
        <w:pStyle w:val="Normal"/>
        <w:tabs>
          <w:tab w:val="clear" w:pos="720"/>
          <w:tab w:val="left" w:pos="2120" w:leader="none"/>
        </w:tabs>
        <w:spacing w:lineRule="auto" w:line="240" w:before="0" w:after="0"/>
        <w:ind w:firstLine="709"/>
        <w:jc w:val="both"/>
        <w:rPr/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Гражданам, указанным в </w:t>
      </w:r>
      <w:r>
        <w:rPr>
          <w:rStyle w:val="Hyperlink"/>
          <w:rFonts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  <w:t>пунктах 6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, </w:t>
      </w:r>
      <w:r>
        <w:rPr>
          <w:rStyle w:val="Hyperlink"/>
          <w:rFonts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  <w:t>6</w:t>
      </w:r>
      <w:r>
        <w:rPr>
          <w:rStyle w:val="Hyperlink"/>
          <w:rFonts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  <w:shd w:fill="auto" w:val="clear"/>
          <w:vertAlign w:val="superscript"/>
        </w:rPr>
        <w:t>1</w:t>
      </w:r>
      <w:r>
        <w:rPr>
          <w:rStyle w:val="Hyperlink"/>
          <w:rFonts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  <w:t xml:space="preserve"> части 1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 настоящей статьи, в случае установления им инвалидности I, II группы в связи с получением ранения (увечья, контузии, тра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shd w:fill="auto" w:val="clear"/>
        </w:rPr>
        <w:t>вмы) в результате участия в специальной военной операции или при выполнении задач по отражению вооруженного вторжения, а также в ходе вооруженной провокации, социальная выплата предоставляется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 в соответствии с </w:t>
      </w:r>
      <w:r>
        <w:rPr>
          <w:rStyle w:val="Hyperlink"/>
          <w:rFonts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  <w:t>пунктами 2, 3</w:t>
      </w:r>
      <w:r>
        <w:rPr>
          <w:rStyle w:val="Hyperlink"/>
          <w:rFonts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  <w:shd w:fill="auto" w:val="clear"/>
          <w:vertAlign w:val="superscript"/>
        </w:rPr>
        <w:t>1</w:t>
      </w:r>
      <w:r>
        <w:rPr>
          <w:rStyle w:val="Hyperlink"/>
          <w:rFonts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  <w:t xml:space="preserve"> части 1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 настоящей статьи.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"; </w:t>
      </w:r>
    </w:p>
    <w:p>
      <w:pPr>
        <w:pStyle w:val="Normal"/>
        <w:tabs>
          <w:tab w:val="clear" w:pos="720"/>
          <w:tab w:val="left" w:pos="2120" w:leader="none"/>
        </w:tabs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д)абзац первый части 10 изложить в следующей редакции:</w:t>
      </w:r>
    </w:p>
    <w:p>
      <w:pPr>
        <w:pStyle w:val="Normal"/>
        <w:tabs>
          <w:tab w:val="clear" w:pos="720"/>
          <w:tab w:val="left" w:pos="2120" w:leader="none"/>
        </w:tabs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"10.В целях учета граждан, указанных в части 1 настоящей статьи, и граждан, указанных в части 1 статьи 7 Закона Приморского края </w:t>
        <w:br/>
        <w:t>"О социальной поддержке в Приморском крае Героев Российской Федерации, Героев Приморья и членов их семей", осуществляется ведение сводного реестра граждан, имеющих право на социальную выплату, в отношении которых принято решение о предоставлении социальной выплаты (далее - сводный реестр).";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е)в 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shd w:fill="auto" w:val="clear"/>
        </w:rPr>
        <w:t>части 11: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shd w:fill="auto" w:val="clear"/>
        </w:rPr>
        <w:t xml:space="preserve">абзац первый изложить в следующей редакции: 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shd w:fill="auto" w:val="clear"/>
        </w:rPr>
        <w:t xml:space="preserve">"11.Срок начала оказания услуги за счет средств социальной выплаты не может превышать 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четырех месяцев с даты выдачи гражданину, включенному в сводный реестр, выписки из сводного реестра (далее – срок действия выписки).";</w:t>
      </w:r>
    </w:p>
    <w:p>
      <w:pPr>
        <w:pStyle w:val="Normal"/>
        <w:spacing w:lineRule="auto" w:line="240" w:before="0" w:after="0"/>
        <w:ind w:firstLine="709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в абзаце втором слова "указанные в части 1 настоящей статьи" заменить словами "включенные в сводный реестр".</w:t>
      </w:r>
    </w:p>
    <w:p>
      <w:pPr>
        <w:pStyle w:val="NoSpacing"/>
        <w:spacing w:lineRule="auto" w:line="240"/>
        <w:ind w:firstLine="709"/>
        <w:jc w:val="both"/>
        <w:rPr>
          <w:i w:val="false"/>
          <w:iCs w:val="false"/>
          <w:sz w:val="28"/>
          <w:szCs w:val="28"/>
          <w:highlight w:val="none"/>
          <w:shd w:fill="auto" w:val="clear"/>
        </w:rPr>
      </w:pPr>
      <w:r>
        <w:rPr>
          <w:i w:val="false"/>
          <w:iCs w:val="false"/>
          <w:sz w:val="28"/>
          <w:szCs w:val="28"/>
          <w:shd w:fill="auto" w:val="clear"/>
        </w:rPr>
      </w:r>
    </w:p>
    <w:p>
      <w:pPr>
        <w:pStyle w:val="NoSpacing"/>
        <w:spacing w:lineRule="auto" w:line="240"/>
        <w:ind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>СТАТЬЯ 2.</w:t>
      </w:r>
    </w:p>
    <w:p>
      <w:pPr>
        <w:pStyle w:val="NoSpacing"/>
        <w:spacing w:lineRule="auto" w:line="240" w:before="0" w:afterAutospacing="0" w:after="0"/>
        <w:ind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>Внести в статью 7 Закона Приморского края от 25 сентября 2025 года № 856-КЗ "О социальной поддержке в Приморском крае Героев Российской Федерации, Героев Приморья и членов их семей" следующие изменения:</w:t>
      </w:r>
    </w:p>
    <w:p>
      <w:pPr>
        <w:pStyle w:val="NoSpacing"/>
        <w:spacing w:lineRule="auto" w:line="240" w:before="0" w:afterAutospacing="0" w:after="0"/>
        <w:ind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>1)в части 4:</w:t>
      </w:r>
    </w:p>
    <w:p>
      <w:pPr>
        <w:pStyle w:val="NoSpacing"/>
        <w:spacing w:lineRule="auto" w:line="240" w:before="0" w:afterAutospacing="0" w:after="0"/>
        <w:ind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>а)</w:t>
      </w:r>
      <w:r>
        <w:rPr>
          <w:rFonts w:eastAsia="Times New Roman" w:cs="Times New Roman" w:ascii="Times New Roman" w:hAnsi="Times New Roman"/>
          <w:i w:val="false"/>
          <w:iCs w:val="false"/>
          <w:strike w:val="false"/>
          <w:dstrike w:val="false"/>
          <w:color w:val="000000"/>
          <w:sz w:val="28"/>
          <w:szCs w:val="28"/>
          <w:shd w:fill="auto" w:val="clear"/>
        </w:rPr>
        <w:t xml:space="preserve">абзацы второй и третий признать утратившими силу; </w:t>
      </w:r>
    </w:p>
    <w:p>
      <w:pPr>
        <w:pStyle w:val="NoSpacing"/>
        <w:spacing w:lineRule="auto" w:line="240" w:before="0" w:afterAutospacing="0" w:after="0"/>
        <w:ind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 xml:space="preserve">б)абзац четвертый изложить в следующей редакции: </w:t>
      </w:r>
    </w:p>
    <w:p>
      <w:pPr>
        <w:pStyle w:val="NoSpacing"/>
        <w:spacing w:lineRule="auto" w:line="240" w:before="0" w:afterAutospacing="0" w:after="0"/>
        <w:ind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>"Герою Российской Федерации, Герою Приморья, членам семьи Героя Приморья социальная выплата предоставляется во внеочередном порядке</w:t>
        <w:br/>
        <w:t>с учетом лиц, указанных в части 1 статьи 3 Закона Приморского края</w:t>
        <w:br/>
        <w:t xml:space="preserve">"О санаторно-курортном лечении отдельных категорий граждан в Приморском крае", включенных в сводный реестр и имеющих право на получение социальной выплаты во внеочередном порядке."; </w:t>
      </w:r>
    </w:p>
    <w:p>
      <w:pPr>
        <w:pStyle w:val="NoSpacing"/>
        <w:spacing w:lineRule="auto" w:line="240" w:before="0" w:afterAutospacing="0" w:after="0"/>
        <w:ind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 xml:space="preserve">в)абзац пятый признать утратившим силу; </w:t>
      </w:r>
    </w:p>
    <w:p>
      <w:pPr>
        <w:pStyle w:val="NoSpacing"/>
        <w:spacing w:lineRule="auto" w:line="240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 xml:space="preserve">2)в абзаце первом части 10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shd w:fill="auto" w:val="clear"/>
        </w:rPr>
        <w:t xml:space="preserve">слова "шести месяцев" </w:t>
      </w:r>
      <w:r>
        <w:rPr>
          <w:rFonts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 xml:space="preserve">заменить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shd w:fill="auto" w:val="clear"/>
        </w:rPr>
        <w:t>словами "четырех месяцев".</w:t>
      </w:r>
    </w:p>
    <w:p>
      <w:pPr>
        <w:pStyle w:val="NoSpacing"/>
        <w:spacing w:lineRule="auto" w:line="240"/>
        <w:ind w:firstLine="709"/>
        <w:jc w:val="both"/>
        <w:rPr>
          <w:i w:val="false"/>
          <w:iCs w:val="false"/>
          <w:sz w:val="28"/>
          <w:szCs w:val="28"/>
          <w:highlight w:val="none"/>
          <w:shd w:fill="auto" w:val="clear"/>
        </w:rPr>
      </w:pPr>
      <w:r>
        <w:rPr>
          <w:i w:val="false"/>
          <w:iCs w:val="false"/>
          <w:sz w:val="28"/>
          <w:szCs w:val="28"/>
          <w:shd w:fill="auto" w:val="clear"/>
        </w:rPr>
      </w:r>
    </w:p>
    <w:p>
      <w:pPr>
        <w:pStyle w:val="NoSpacing"/>
        <w:spacing w:lineRule="auto" w:line="240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>СТАТЬЯ 3.</w:t>
      </w:r>
    </w:p>
    <w:p>
      <w:pPr>
        <w:pStyle w:val="NoSpacing"/>
        <w:spacing w:lineRule="auto" w:line="240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 xml:space="preserve">1.Настоящий Закон вступает в силу </w:t>
      </w:r>
      <w:r>
        <w:rPr>
          <w:rFonts w:cs="Times New Roman" w:ascii="Times New Roman" w:hAnsi="Times New Roman"/>
          <w:b w:val="false"/>
          <w:i w:val="false"/>
          <w:iCs w:val="false"/>
          <w:sz w:val="28"/>
          <w:szCs w:val="28"/>
          <w:shd w:fill="auto" w:val="clear"/>
        </w:rPr>
        <w:t>со дня его официального опубликования</w:t>
      </w:r>
      <w:r>
        <w:rPr>
          <w:rFonts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>, за исключением пункта 1 статьи 1 настоящего Закона.</w:t>
      </w:r>
    </w:p>
    <w:p>
      <w:pPr>
        <w:pStyle w:val="NoSpacing"/>
        <w:spacing w:lineRule="auto" w:line="240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>2.Пункт 1 статьи 1 настоящего Закона вступает в силу с 1 января</w:t>
        <w:br/>
        <w:t>2027 года.</w:t>
      </w:r>
    </w:p>
    <w:p>
      <w:pPr>
        <w:pStyle w:val="NoSpacing"/>
        <w:spacing w:lineRule="auto" w:line="240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 xml:space="preserve">3.Положения абзаца первого части 11 статьи 3 Закона Приморского края от 04 марта 2020 года № 735-КЗ "О санаторно-курортном лечении отдельных категорий граждан в Приморском крае" в редакции настоящего Закона, абзаца первого части 10 статьи 7 Закона 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Приморского края</w:t>
        <w:br/>
        <w:t xml:space="preserve"> от 25 сентября 2025 года № 856-КЗ "О социальной поддержке в Приморском крае Героев Российской Федерации, Героев Приморья и членов их семей" в редакции настоящего Закона</w:t>
      </w:r>
      <w:r>
        <w:rPr>
          <w:rFonts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 xml:space="preserve"> применяются к с</w:t>
      </w:r>
      <w:r>
        <w:rPr>
          <w:rFonts w:eastAsia="Times New Roman"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>року начала оказания услуги за счет средств социальной выплаты, указанному в</w:t>
      </w:r>
      <w:r>
        <w:rPr>
          <w:rFonts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  <w:t xml:space="preserve"> выписке из сводного реестра, выданной после вступления в силу настоящего Закона. </w:t>
      </w:r>
    </w:p>
    <w:p>
      <w:pPr>
        <w:pStyle w:val="BodyText"/>
        <w:spacing w:lineRule="auto" w:line="240" w:before="0" w:after="0"/>
        <w:ind w:hanging="0"/>
        <w:contextualSpacing/>
        <w:jc w:val="both"/>
        <w:rPr>
          <w:rFonts w:ascii="Times New Roman" w:hAnsi="Times New Roman" w:eastAsia="Times New Roman;DejaVu Sans" w:cs="Times New Roman"/>
          <w:i w:val="false"/>
          <w:iCs w:val="false"/>
          <w:strike w:val="false"/>
          <w:dstrike w:val="false"/>
          <w:sz w:val="28"/>
          <w:szCs w:val="28"/>
          <w:highlight w:val="none"/>
          <w:shd w:fill="auto" w:val="clear"/>
        </w:rPr>
      </w:pPr>
      <w:r>
        <w:rPr>
          <w:rFonts w:eastAsia="Times New Roman;DejaVu Sans" w:cs="Times New Roman" w:ascii="Times New Roman" w:hAnsi="Times New Roman"/>
          <w:i w:val="false"/>
          <w:iCs w:val="false"/>
          <w:strike w:val="false"/>
          <w:dstrike w:val="false"/>
          <w:sz w:val="28"/>
          <w:szCs w:val="28"/>
          <w:shd w:fill="auto" w:val="clear"/>
        </w:rPr>
      </w:r>
    </w:p>
    <w:p>
      <w:pPr>
        <w:pStyle w:val="BodyText"/>
        <w:spacing w:lineRule="auto" w:line="240" w:before="0" w:after="0"/>
        <w:ind w:hanging="0"/>
        <w:contextualSpacing/>
        <w:jc w:val="both"/>
        <w:rPr>
          <w:rFonts w:ascii="Times New Roman" w:hAnsi="Times New Roman" w:eastAsia="Times New Roman;DejaVu Sans" w:cs="Times New Roman"/>
          <w:iCs/>
          <w:strike w:val="false"/>
          <w:dstrike w:val="false"/>
          <w:sz w:val="28"/>
          <w:szCs w:val="28"/>
          <w:highlight w:val="none"/>
          <w:shd w:fill="auto" w:val="clear"/>
        </w:rPr>
      </w:pPr>
      <w:r>
        <w:rPr>
          <w:rFonts w:eastAsia="Times New Roman;DejaVu Sans" w:cs="Times New Roman" w:ascii="Times New Roman" w:hAnsi="Times New Roman"/>
          <w:iCs/>
          <w:strike w:val="false"/>
          <w:dstrike w:val="false"/>
          <w:sz w:val="28"/>
          <w:szCs w:val="28"/>
          <w:shd w:fill="auto" w:val="clear"/>
        </w:rPr>
      </w:r>
    </w:p>
    <w:p>
      <w:pPr>
        <w:pStyle w:val="BodyText"/>
        <w:spacing w:lineRule="auto" w:line="240" w:before="0" w:after="0"/>
        <w:ind w:hanging="0"/>
        <w:contextualSpacing/>
        <w:jc w:val="both"/>
        <w:rPr>
          <w:rFonts w:ascii="Times New Roman" w:hAnsi="Times New Roman" w:eastAsia="Times New Roman;DejaVu Sans" w:cs="Times New Roman"/>
          <w:iCs/>
          <w:strike w:val="false"/>
          <w:dstrike w:val="false"/>
          <w:sz w:val="28"/>
          <w:szCs w:val="28"/>
          <w:highlight w:val="none"/>
          <w:shd w:fill="auto" w:val="clear"/>
        </w:rPr>
      </w:pPr>
      <w:r>
        <w:rPr>
          <w:rFonts w:eastAsia="Times New Roman;DejaVu Sans" w:cs="Times New Roman" w:ascii="Times New Roman" w:hAnsi="Times New Roman"/>
          <w:iCs/>
          <w:strike w:val="false"/>
          <w:dstrike w:val="false"/>
          <w:sz w:val="28"/>
          <w:szCs w:val="28"/>
          <w:shd w:fill="auto" w:val="clear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hyperlink r:id="rId2" w:tooltip="https://login.consultant.ru/link/?req=doc&amp;base=LAW&amp;n=463501&amp;dst=100009">
        <w:bookmarkStart w:id="0" w:name="Par3"/>
        <w:r>
          <w:rPr>
            <w:rStyle w:val="Style"/>
            <w:rFonts w:cs="Times New Roman" w:ascii="Times New Roman" w:hAnsi="Times New Roman"/>
            <w:sz w:val="28"/>
            <w:szCs w:val="28"/>
          </w:rPr>
          <w:t>Губернатор края</w:t>
          <w:tab/>
          <w:t xml:space="preserve">                              </w:t>
          <w:tab/>
          <w:t xml:space="preserve">                                            О.Н. Кожемяко</w:t>
        </w:r>
      </w:hyperlink>
      <w:bookmarkEnd w:id="0"/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850" w:gutter="0" w:header="0" w:top="851" w:footer="0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isLgl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isLgl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isLgl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isLgl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isLgl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isLgl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isLgl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isLgl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isLgl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Heading2">
    <w:name w:val="heading 2"/>
    <w:basedOn w:val="user3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basedOn w:val="DefaultParagraphFont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user">
    <w:name w:val="Символ сноски (user)"/>
    <w:basedOn w:val="DefaultParagraphFont"/>
    <w:uiPriority w:val="99"/>
    <w:unhideWhenUsed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user1">
    <w:name w:val="Символ концевой сноски (user)"/>
    <w:basedOn w:val="DefaultParagraphFont"/>
    <w:uiPriority w:val="99"/>
    <w:semiHidden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qFormat/>
    <w:rPr/>
  </w:style>
  <w:style w:type="character" w:styleId="Style7">
    <w:name w:val="Верхний колонтитул Знак"/>
    <w:basedOn w:val="DefaultParagraphFont"/>
    <w:qFormat/>
    <w:rPr>
      <w:rFonts w:ascii="Times New Roman" w:hAnsi="Times New Roman" w:eastAsia="Tahoma" w:cs="FreeSans;Times New Roman"/>
      <w:sz w:val="24"/>
      <w:szCs w:val="24"/>
      <w:lang w:eastAsia="zh-CN" w:bidi="hi-IN"/>
    </w:rPr>
  </w:style>
  <w:style w:type="character" w:styleId="Style8">
    <w:name w:val="Нижний колонтитул Знак"/>
    <w:basedOn w:val="DefaultParagraphFont"/>
    <w:qFormat/>
    <w:rPr>
      <w:rFonts w:ascii="Times New Roman" w:hAnsi="Times New Roman" w:eastAsia="Tahoma" w:cs="Mangal"/>
      <w:sz w:val="24"/>
      <w:szCs w:val="21"/>
      <w:lang w:eastAsia="zh-CN" w:bidi="hi-IN"/>
    </w:rPr>
  </w:style>
  <w:style w:type="character" w:styleId="1">
    <w:name w:val="Гиперссылка1"/>
    <w:qFormat/>
    <w:rPr>
      <w:color w:val="000080"/>
      <w:u w:val="single"/>
    </w:rPr>
  </w:style>
  <w:style w:type="character" w:styleId="Style9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styleId="user2">
    <w:name w:val="Символ нумерации (user)"/>
    <w:qFormat/>
    <w:rPr/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Style10">
    <w:name w:val="Текст примечания Знак"/>
    <w:basedOn w:val="DefaultParagraphFont"/>
    <w:qFormat/>
    <w:rPr>
      <w:szCs w:val="20"/>
    </w:rPr>
  </w:style>
  <w:style w:type="character" w:styleId="Style11">
    <w:name w:val="Тема примечания Знак"/>
    <w:basedOn w:val="Style10"/>
    <w:link w:val="annotationsubject"/>
    <w:qFormat/>
    <w:rPr>
      <w:b/>
      <w:bCs/>
      <w:szCs w:val="20"/>
    </w:rPr>
  </w:style>
  <w:style w:type="character" w:styleId="FollowedHyperlink">
    <w:name w:val="FollowedHyperlink"/>
    <w:rPr>
      <w:color w:val="800000"/>
      <w:u w:val="single"/>
    </w:rPr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3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4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Normal"/>
    <w:pPr>
      <w:suppressLineNumbers/>
    </w:pPr>
    <w:rPr>
      <w:rFonts w:ascii="Times New Roman" w:hAnsi="Times New Roman" w:cs="Noto Sans Devanagari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0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5">
    <w:name w:val="Верхний и нижний колонтитулы"/>
    <w:basedOn w:val="Normal"/>
    <w:qFormat/>
    <w:pPr/>
    <w:rPr/>
  </w:style>
  <w:style w:type="paragraph" w:styleId="Style16">
    <w:name w:val="Колонтитул"/>
    <w:basedOn w:val="Normal"/>
    <w:qFormat/>
    <w:pPr/>
    <w:rPr/>
  </w:style>
  <w:style w:type="paragraph" w:styleId="Style17">
    <w:name w:val="Колонтитулы"/>
    <w:basedOn w:val="Normal"/>
    <w:qFormat/>
    <w:pPr/>
    <w:rPr/>
  </w:style>
  <w:style w:type="paragraph" w:styleId="user5">
    <w:name w:val="Колонтитулы (user)"/>
    <w:basedOn w:val="Normal"/>
    <w:qFormat/>
    <w:pPr/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ahoma" w:cs="FreeSans;Times New Roman"/>
      <w:sz w:val="24"/>
      <w:szCs w:val="24"/>
      <w:lang w:eastAsia="zh-CN" w:bidi="hi-IN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ahoma" w:cs="Mangal"/>
      <w:sz w:val="24"/>
      <w:szCs w:val="21"/>
      <w:lang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Courier New"/>
      <w:b/>
      <w:color w:val="auto"/>
      <w:kern w:val="0"/>
      <w:sz w:val="24"/>
      <w:szCs w:val="24"/>
      <w:lang w:val="ru-RU" w:eastAsia="zh-CN" w:bidi="hi-IN"/>
    </w:rPr>
  </w:style>
  <w:style w:type="paragraph" w:styleId="CommentText">
    <w:name w:val="annotation text"/>
    <w:basedOn w:val="Normal"/>
    <w:link w:val="Style1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1"/>
    <w:qFormat/>
    <w:pPr/>
    <w:rPr>
      <w:b/>
      <w:bCs/>
    </w:rPr>
  </w:style>
  <w:style w:type="paragraph" w:styleId="user6">
    <w:name w:val="Комментарий (user)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paragraph" w:styleId="Style18">
    <w:name w:val="Комментарий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numbering" w:styleId="Style19">
    <w:name w:val="Без списка"/>
    <w:uiPriority w:val="99"/>
    <w:semiHidden/>
    <w:unhideWhenUsed/>
    <w:qFormat/>
  </w:style>
  <w:style w:type="numbering" w:styleId="user7" w:default="1">
    <w:name w:val="Без списка (user)"/>
    <w:uiPriority w:val="99"/>
    <w:semiHidden/>
    <w:unhideWhenUsed/>
    <w:qFormat/>
  </w:style>
  <w:style w:type="table" w:styleId="752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55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56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57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8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9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6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7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8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9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0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1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2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3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4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5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6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7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8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9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0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82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83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84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85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8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78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79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79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79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79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794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79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17bba" w:themeColor="accent1" w:themeTint="80" w:themeShade="95"/>
      </w:rPr>
      <w:tblPr/>
    </w:tblStylePr>
    <w:tblStylePr w:type="firstRow">
      <w:rPr>
        <w:b/>
        <w:color w:val="317bba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  <w:tblPr/>
    </w:tblStylePr>
    <w:tblStylePr w:type="lastRow">
      <w:rPr>
        <w:b/>
        <w:color w:val="317bba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79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79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606060" w:themeColor="accent3" w:themeTint="fe" w:themeShade="95"/>
      </w:rPr>
      <w:tblPr/>
    </w:tblStylePr>
    <w:tblStylePr w:type="firstRow">
      <w:rPr>
        <w:b/>
        <w:color w:val="60606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tblPr/>
    </w:tblStylePr>
    <w:tblStylePr w:type="lastRow">
      <w:rPr>
        <w:b/>
        <w:color w:val="606060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79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79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80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801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17bba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0606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  <w:tblPr/>
    </w:tblStylePr>
    <w:tblStylePr w:type="firstCol">
      <w:pPr>
        <w:jc w:val="right"/>
      </w:pPr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54374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  <w:tblPr/>
    </w:tblStylePr>
    <w:tblStylePr w:type="firstCol">
      <w:pPr>
        <w:jc w:val="right"/>
      </w:pPr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26429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8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16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17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18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19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20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21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22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3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4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5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6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7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8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9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0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1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2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3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4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5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6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3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3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3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4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4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4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43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4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45d8d" w:themeColor="accent1" w:themeShade="95"/>
      </w:rPr>
      <w:tblPr/>
    </w:tblStylePr>
    <w:tblStylePr w:type="firstRow">
      <w:rPr>
        <w:b/>
        <w:color w:val="245d8d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tblPr/>
    </w:tblStylePr>
    <w:tblStylePr w:type="lastRow">
      <w:rPr>
        <w:b/>
        <w:color w:val="245d8d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4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57575" w:themeColor="accent3" w:themeTint="98" w:themeShade="95"/>
      </w:rPr>
      <w:tblPr/>
    </w:tblStylePr>
    <w:tblStylePr w:type="firstRow">
      <w:rPr>
        <w:b/>
        <w:color w:val="757575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tblPr/>
    </w:tblStylePr>
    <w:tblStylePr w:type="lastRow">
      <w:rPr>
        <w:b/>
        <w:color w:val="757575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4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4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5e9e" w:themeColor="accent5" w:themeTint="9a" w:themeShade="95"/>
      </w:rPr>
      <w:tblPr/>
    </w:tblStylePr>
    <w:tblStylePr w:type="firstRow">
      <w:rPr>
        <w:b/>
        <w:color w:val="335e9e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  <w:tblPr/>
    </w:tblStylePr>
    <w:tblStylePr w:type="lastRow">
      <w:rPr>
        <w:b/>
        <w:color w:val="335e9e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4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5f8f3c" w:themeColor="accent6" w:themeTint="98" w:themeShade="95"/>
      </w:rPr>
      <w:tblPr/>
    </w:tblStylePr>
    <w:tblStylePr w:type="firstRow">
      <w:rPr>
        <w:b/>
        <w:color w:val="5f8f3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  <w:tblPr/>
    </w:tblStylePr>
    <w:tblStylePr w:type="lastRow">
      <w:rPr>
        <w:b/>
        <w:color w:val="5f8f3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50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85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  <w:tblPr/>
    </w:tblStylePr>
    <w:tblStylePr w:type="firstCol">
      <w:pPr>
        <w:jc w:val="right"/>
      </w:pPr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45d8d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45d8d" w:themeColor="accent1" w:themeShade="95"/>
        <w:sz w:val="22"/>
      </w:rPr>
      <w:tblPr/>
    </w:tblStylePr>
  </w:style>
  <w:style w:type="table" w:styleId="85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95712" w:themeColor="accent2" w:themeTint="97" w:themeShade="95"/>
        <w:sz w:val="22"/>
      </w:rPr>
      <w:tblPr/>
    </w:tblStylePr>
  </w:style>
  <w:style w:type="table" w:styleId="85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57575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57575" w:themeColor="accent3" w:themeTint="98" w:themeShade="95"/>
        <w:sz w:val="22"/>
      </w:rPr>
      <w:tblPr/>
    </w:tblStylePr>
  </w:style>
  <w:style w:type="table" w:styleId="85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d9600" w:themeColor="accent4" w:themeTint="9a" w:themeShade="95"/>
        <w:sz w:val="22"/>
      </w:rPr>
      <w:tblPr/>
    </w:tblStylePr>
  </w:style>
  <w:style w:type="table" w:styleId="85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5e9e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5e9e" w:themeColor="accent5" w:themeTint="9a" w:themeShade="95"/>
        <w:sz w:val="22"/>
      </w:rPr>
      <w:tblPr/>
    </w:tblStylePr>
  </w:style>
  <w:style w:type="table" w:styleId="85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5f8f3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5f8f3c" w:themeColor="accent6" w:themeTint="98" w:themeShade="95"/>
        <w:sz w:val="22"/>
      </w:rPr>
      <w:tblPr/>
    </w:tblStylePr>
  </w:style>
  <w:style w:type="table" w:styleId="857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58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59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60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61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62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63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64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65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66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67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68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69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70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71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72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74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75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76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77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78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463501&amp;dst=100009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Application>LibreOffice/25.8.4.2$Linux_X86_64 LibreOffice_project/580$Build-2</Application>
  <AppVersion>15.0000</AppVersion>
  <Pages>3</Pages>
  <Words>793</Words>
  <Characters>4531</Characters>
  <CharactersWithSpaces>5407</CharactersWithSpaces>
  <Paragraphs>49</Paragraphs>
  <Company>КонсультантПлюс Версия 4023.00.52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dc:description/>
  <dc:language>ru-RU</dc:language>
  <cp:lastModifiedBy/>
  <cp:lastPrinted>2026-09-30T11:35:14Z</cp:lastPrinted>
  <dcterms:modified xsi:type="dcterms:W3CDTF">2026-09-30T11:36:10Z</dcterms:modified>
  <cp:revision>116</cp:revision>
  <dc:subject/>
  <dc:title>Закон Приморского края от 29.12.2004 N 206-КЗ(ред. от 03.10.2023)"О социальной поддержке льготных категорий граждан, проживающих на территории Приморского края"(принят Законодательным Собранием Приморского края 22.12.2004)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