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uto" w:line="360"/>
        <w:ind w:right="23"/>
        <w:jc w:val="center"/>
        <w:rPr>
          <w:rFonts w:ascii="Times New Roman" w:hAnsi="Times New Roman"/>
        </w:rPr>
      </w:pPr>
      <w:r>
        <w:rPr>
          <w:rFonts w:cs="PT Astra Serif" w:ascii="Times New Roman" w:hAnsi="Times New Roman"/>
          <w:b/>
          <w:bCs/>
          <w:color w:val="000000"/>
          <w:spacing w:val="2"/>
          <w:sz w:val="28"/>
          <w:szCs w:val="28"/>
          <w:shd w:fill="auto" w:val="clear"/>
        </w:rPr>
        <w:t>ПОЯСНИТЕЛЬНАЯ ЗАПИСКА</w:t>
      </w:r>
    </w:p>
    <w:p>
      <w:pPr>
        <w:pStyle w:val="ConsPlusTitle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z w:val="28"/>
          <w:szCs w:val="28"/>
          <w:shd w:fill="auto" w:val="clear"/>
        </w:rPr>
        <w:t xml:space="preserve">к проекту закона Приморского края </w:t>
      </w:r>
      <w:r>
        <w:rPr>
          <w:rFonts w:eastAsia="PT Astra Serif" w:cs="Times New Roman" w:ascii="Times New Roman" w:hAnsi="Times New Roman"/>
          <w:b w:val="false"/>
          <w:bCs w:val="false"/>
          <w:sz w:val="28"/>
          <w:szCs w:val="28"/>
          <w:shd w:fill="auto" w:val="clear"/>
          <w:lang w:eastAsia="ar-SA"/>
        </w:rPr>
        <w:t xml:space="preserve"> «О внесении изменений </w:t>
      </w:r>
    </w:p>
    <w:p>
      <w:pPr>
        <w:pStyle w:val="ConsPlusTitle"/>
        <w:jc w:val="center"/>
        <w:rPr>
          <w:rFonts w:ascii="Times New Roman" w:hAnsi="Times New Roman"/>
        </w:rPr>
      </w:pPr>
      <w:r>
        <w:rPr>
          <w:rFonts w:eastAsia="PT Astra Serif" w:cs="Times New Roman" w:ascii="Times New Roman" w:hAnsi="Times New Roman"/>
          <w:b w:val="false"/>
          <w:bCs w:val="false"/>
          <w:sz w:val="28"/>
          <w:szCs w:val="28"/>
          <w:shd w:fill="auto" w:val="clear"/>
          <w:lang w:eastAsia="ar-SA"/>
        </w:rPr>
        <w:t>в Закон Приморского края «О внесении изменений в отдельные законодательные акты Приморского края, признании утратившими</w:t>
      </w:r>
    </w:p>
    <w:p>
      <w:pPr>
        <w:pStyle w:val="ConsPlusTitle"/>
        <w:jc w:val="center"/>
        <w:rPr>
          <w:rFonts w:ascii="Times New Roman" w:hAnsi="Times New Roman"/>
        </w:rPr>
      </w:pPr>
      <w:r>
        <w:rPr>
          <w:rFonts w:eastAsia="PT Astra Serif" w:cs="Times New Roman" w:ascii="Times New Roman" w:hAnsi="Times New Roman"/>
          <w:b w:val="false"/>
          <w:bCs w:val="false"/>
          <w:sz w:val="28"/>
          <w:szCs w:val="28"/>
          <w:shd w:fill="auto" w:val="clear"/>
          <w:lang w:eastAsia="ar-SA"/>
        </w:rPr>
        <w:t xml:space="preserve">силу отдельных законодательных актов Приморского края, </w:t>
      </w:r>
    </w:p>
    <w:p>
      <w:pPr>
        <w:pStyle w:val="ConsPlusTitle"/>
        <w:jc w:val="center"/>
        <w:rPr>
          <w:rFonts w:ascii="Times New Roman" w:hAnsi="Times New Roman"/>
        </w:rPr>
      </w:pPr>
      <w:r>
        <w:rPr>
          <w:rFonts w:eastAsia="PT Astra Serif" w:cs="Times New Roman" w:ascii="Times New Roman" w:hAnsi="Times New Roman"/>
          <w:b w:val="false"/>
          <w:bCs w:val="false"/>
          <w:sz w:val="28"/>
          <w:szCs w:val="28"/>
          <w:shd w:fill="auto" w:val="clear"/>
          <w:lang w:eastAsia="ar-SA"/>
        </w:rPr>
        <w:t xml:space="preserve">отдельных положений законодательных актов Приморского края </w:t>
      </w:r>
    </w:p>
    <w:p>
      <w:pPr>
        <w:pStyle w:val="ConsPlusTitle"/>
        <w:jc w:val="center"/>
        <w:rPr>
          <w:rFonts w:ascii="Times New Roman" w:hAnsi="Times New Roman"/>
        </w:rPr>
      </w:pPr>
      <w:r>
        <w:rPr>
          <w:rFonts w:eastAsia="PT Astra Serif" w:cs="Times New Roman" w:ascii="Times New Roman" w:hAnsi="Times New Roman"/>
          <w:b w:val="false"/>
          <w:bCs w:val="false"/>
          <w:sz w:val="28"/>
          <w:szCs w:val="28"/>
          <w:shd w:fill="auto" w:val="clear"/>
          <w:lang w:eastAsia="ar-SA"/>
        </w:rPr>
        <w:t>в сфере опеки и попечительства»</w:t>
      </w:r>
    </w:p>
    <w:p>
      <w:pPr>
        <w:pStyle w:val="Normal"/>
        <w:spacing w:lineRule="auto" w:line="300"/>
        <w:jc w:val="both"/>
        <w:rPr>
          <w:rFonts w:ascii="Times New Roman" w:hAnsi="Times New Roman" w:cs="Times New Roman"/>
          <w:b/>
          <w:color w:val="000000"/>
          <w:spacing w:val="1"/>
          <w:sz w:val="28"/>
          <w:szCs w:val="28"/>
          <w:highlight w:val="none"/>
          <w:shd w:fill="auto" w:val="clear"/>
        </w:rPr>
      </w:pPr>
      <w:r>
        <w:rPr>
          <w:rFonts w:cs="Times New Roman" w:ascii="Times New Roman" w:hAnsi="Times New Roman"/>
          <w:b/>
          <w:color w:val="000000"/>
          <w:spacing w:val="1"/>
          <w:sz w:val="28"/>
          <w:szCs w:val="28"/>
          <w:shd w:fill="auto" w:val="clear"/>
        </w:rPr>
      </w:r>
    </w:p>
    <w:p>
      <w:pPr>
        <w:pStyle w:val="Normal"/>
        <w:spacing w:lineRule="auto" w:line="300"/>
        <w:jc w:val="both"/>
        <w:rPr>
          <w:rFonts w:ascii="Times New Roman" w:hAnsi="Times New Roman" w:cs="Times New Roman"/>
          <w:b/>
          <w:color w:val="000000"/>
          <w:spacing w:val="1"/>
          <w:sz w:val="28"/>
          <w:szCs w:val="28"/>
          <w:highlight w:val="none"/>
          <w:shd w:fill="auto" w:val="clear"/>
        </w:rPr>
      </w:pPr>
      <w:r>
        <w:rPr>
          <w:rFonts w:cs="Times New Roman" w:ascii="Times New Roman" w:hAnsi="Times New Roman"/>
          <w:b/>
          <w:color w:val="000000"/>
          <w:spacing w:val="1"/>
          <w:sz w:val="28"/>
          <w:szCs w:val="28"/>
          <w:shd w:fill="auto" w:val="clear"/>
        </w:rPr>
      </w:r>
    </w:p>
    <w:p>
      <w:pPr>
        <w:pStyle w:val="ConsPlusTitle"/>
        <w:spacing w:lineRule="auto" w:line="360"/>
        <w:ind w:firstLine="709" w:right="0"/>
        <w:jc w:val="both"/>
        <w:rPr>
          <w:rFonts w:ascii="Times New Roman" w:hAnsi="Times New Roman"/>
        </w:rPr>
      </w:pP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 xml:space="preserve">Во исполнение пункта 12 раздела III Концепции совершенствования деятельности органов опеки и попечительства в отношении несовершеннолетних граждан, утвержденной распоряжением Правительства РФ от 16.05.2025 № 1217-р (далее - Концепция), принят Закон Приморского края от 02 июня 2026 года № 1006-КЗ «О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попечительства» (далее - Закон № 1006-КЗ), согласно которому с 01.01.2027 </w:t>
      </w:r>
      <w:r>
        <w:rPr>
          <w:rFonts w:eastAsia="PT Astra Serif" w:cs="Times New Roman" w:ascii="Times New Roman" w:hAnsi="Times New Roman"/>
          <w:b/>
          <w:bCs/>
          <w:color w:val="000000"/>
          <w:spacing w:val="1"/>
          <w:sz w:val="28"/>
          <w:szCs w:val="28"/>
          <w:shd w:fill="auto" w:val="clear"/>
          <w:lang w:eastAsia="ar-SA"/>
        </w:rPr>
        <w:t xml:space="preserve">полномочия </w:t>
      </w:r>
      <w:r>
        <w:rPr>
          <w:rFonts w:eastAsia="PT Astra Serif" w:cs="Times New Roman" w:ascii="Times New Roman" w:hAnsi="Times New Roman"/>
          <w:b/>
          <w:bCs/>
          <w:color w:val="000000"/>
          <w:spacing w:val="1"/>
          <w:sz w:val="28"/>
          <w:szCs w:val="28"/>
          <w:u w:val="none"/>
          <w:lang w:eastAsia="ar-SA"/>
        </w:rPr>
        <w:t>по социальной поддержке</w:t>
      </w:r>
      <w:r>
        <w:rPr>
          <w:rFonts w:eastAsia="PT Astra Serif" w:cs="Times New Roman" w:ascii="Times New Roman" w:hAnsi="Times New Roman"/>
          <w:b w:val="false"/>
          <w:color w:val="000000"/>
          <w:spacing w:val="1"/>
          <w:sz w:val="28"/>
          <w:szCs w:val="28"/>
          <w:u w:val="none"/>
          <w:lang w:eastAsia="ar-SA"/>
        </w:rPr>
        <w:t xml:space="preserve"> </w:t>
      </w:r>
      <w:r>
        <w:rPr>
          <w:rFonts w:eastAsia="PT Astra Serif" w:cs="Times New Roman" w:ascii="Times New Roman" w:hAnsi="Times New Roman"/>
          <w:b w:val="false"/>
          <w:color w:val="000000"/>
          <w:spacing w:val="1"/>
          <w:sz w:val="28"/>
          <w:szCs w:val="28"/>
          <w:lang w:eastAsia="ar-SA"/>
        </w:rPr>
        <w:t xml:space="preserve">детей, оставшихся без попечения родителей, и лиц, принявших на воспитание в семью детей, оставшихся без попечения родителей, а также лиц из числа детей-сирот и детей, оставшихся без попечения родителей, лиц, потерявших в период обучения обоих родителей или единственного родителя 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 xml:space="preserve"> </w:t>
      </w:r>
      <w:r>
        <w:rPr>
          <w:rFonts w:eastAsia="PT Astra Serif" w:cs="Times New Roman" w:ascii="Times New Roman" w:hAnsi="Times New Roman"/>
          <w:b w:val="false"/>
          <w:bCs w:val="false"/>
          <w:i/>
          <w:iCs/>
          <w:color w:val="000000"/>
          <w:spacing w:val="1"/>
          <w:sz w:val="28"/>
          <w:szCs w:val="28"/>
          <w:u w:val="none"/>
          <w:shd w:fill="auto" w:val="clear"/>
          <w:lang w:eastAsia="ar-SA"/>
        </w:rPr>
        <w:t xml:space="preserve">(6 видов выплат, предусмотренных статьей 2 </w:t>
      </w:r>
      <w:r>
        <w:rPr>
          <w:rFonts w:eastAsia="PT Astra Serif" w:cs="Times New Roman" w:ascii="Times New Roman" w:hAnsi="Times New Roman"/>
          <w:b w:val="false"/>
          <w:i/>
          <w:iCs/>
          <w:color w:val="000000"/>
          <w:spacing w:val="1"/>
          <w:sz w:val="28"/>
          <w:szCs w:val="28"/>
          <w:u w:val="none"/>
          <w:lang w:eastAsia="ar-SA"/>
        </w:rPr>
        <w:t>Закона Приморского края от 30.09.2019 № 572-КЗ)</w:t>
      </w:r>
      <w:r>
        <w:rPr>
          <w:rFonts w:eastAsia="PT Astra Serif" w:cs="Times New Roman" w:ascii="Times New Roman" w:hAnsi="Times New Roman"/>
          <w:b w:val="false"/>
          <w:color w:val="000000"/>
          <w:spacing w:val="1"/>
          <w:sz w:val="28"/>
          <w:szCs w:val="28"/>
          <w:u w:val="none"/>
          <w:lang w:eastAsia="ar-SA"/>
        </w:rPr>
        <w:t xml:space="preserve"> 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u w:val="none"/>
          <w:shd w:fill="auto" w:val="clear"/>
          <w:lang w:eastAsia="ar-SA"/>
        </w:rPr>
        <w:t>упраздняются у органов местного самоуправления и возлагаются н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 xml:space="preserve">а </w:t>
      </w:r>
      <w:r>
        <w:rPr>
          <w:rFonts w:eastAsia="PT Astra Serif" w:cs="Times New Roman" w:ascii="Times New Roman" w:hAnsi="Times New Roman"/>
          <w:b w:val="false"/>
          <w:bCs w:val="false"/>
          <w:i w:val="false"/>
          <w:iCs w:val="false"/>
          <w:color w:val="000000"/>
          <w:spacing w:val="1"/>
          <w:sz w:val="28"/>
          <w:szCs w:val="28"/>
          <w:shd w:fill="auto" w:val="clear"/>
          <w:lang w:eastAsia="ar-SA"/>
        </w:rPr>
        <w:t xml:space="preserve">министерство труда и социальной политики Приморского края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spacing w:val="1"/>
          <w:sz w:val="28"/>
          <w:szCs w:val="28"/>
          <w:shd w:fill="auto" w:val="clear"/>
          <w:lang w:eastAsia="en-US"/>
        </w:rPr>
        <w:t xml:space="preserve">(далее — Министерство). </w:t>
      </w:r>
    </w:p>
    <w:p>
      <w:pPr>
        <w:pStyle w:val="ConsPlusTitle"/>
        <w:spacing w:lineRule="auto" w:line="360"/>
        <w:ind w:firstLine="709" w:right="0"/>
        <w:jc w:val="both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spacing w:val="1"/>
          <w:sz w:val="28"/>
          <w:szCs w:val="28"/>
          <w:shd w:fill="auto" w:val="clear"/>
          <w:lang w:eastAsia="en-US"/>
        </w:rPr>
        <w:t xml:space="preserve">Предоставление мер поддержки в сфере социальной защиты населения в Приморском крае осуществляется подведомственным Министерству краевым государственным казенным учреждением «Центр социальной поддержки населения Приморского края». </w:t>
      </w:r>
    </w:p>
    <w:p>
      <w:pPr>
        <w:pStyle w:val="Normal"/>
        <w:widowControl/>
        <w:spacing w:lineRule="auto" w:line="360" w:before="0" w:after="0"/>
        <w:ind w:firstLine="709" w:left="0" w:right="0"/>
        <w:jc w:val="both"/>
        <w:rPr>
          <w:rFonts w:ascii="Times New Roman" w:hAnsi="Times New Roman"/>
        </w:rPr>
      </w:pP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Согласно распоряжению Администрации Приморского края от 21 июля 2014 года № 257-ра «О создании краевого государственного казенного учреждения «Центр социальной поддержки населения Приморского края» путем его учреждения» п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редметом деятельности данного учреждения является предоставление государственных услуг в сфере социальной защиты населения.</w:t>
      </w:r>
    </w:p>
    <w:p>
      <w:pPr>
        <w:pStyle w:val="Normal"/>
        <w:widowControl/>
        <w:spacing w:lineRule="auto" w:line="360" w:before="0" w:after="0"/>
        <w:ind w:firstLine="709" w:left="0" w:right="0"/>
        <w:jc w:val="both"/>
        <w:rPr>
          <w:rFonts w:ascii="Times New Roman" w:hAnsi="Times New Roman"/>
        </w:rPr>
      </w:pP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 xml:space="preserve">Проект закона  предлагает 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о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с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у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щ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е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с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т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в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л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е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н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и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 xml:space="preserve">е 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полномочи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й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 xml:space="preserve"> органа опеки и попечительства по социальной поддержке детей, оставшихся без попечения родителей, и лиц, принявших на воспитание в семью детей, оставшихся 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 xml:space="preserve">без попечения родителей, краевым государственным казенным учреждением 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u w:val="none"/>
          <w:shd w:fill="auto" w:val="clear"/>
          <w:lang w:eastAsia="ar-SA"/>
        </w:rPr>
        <w:t>«Центр социальной поддержки населения Приморского края», подведомственн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u w:val="none"/>
          <w:shd w:fill="auto" w:val="clear"/>
          <w:lang w:eastAsia="ar-SA"/>
        </w:rPr>
        <w:t>ы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u w:val="none"/>
          <w:shd w:fill="auto" w:val="clear"/>
          <w:lang w:eastAsia="ar-SA"/>
        </w:rPr>
        <w:t>м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u w:val="none"/>
          <w:shd w:fill="auto" w:val="clear"/>
          <w:lang w:eastAsia="ar-SA"/>
        </w:rPr>
        <w:t xml:space="preserve"> 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u w:val="none"/>
          <w:shd w:fill="auto" w:val="clear"/>
          <w:lang w:eastAsia="ar-SA"/>
        </w:rPr>
        <w:t>М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u w:val="none"/>
          <w:shd w:fill="auto" w:val="clear"/>
          <w:lang w:eastAsia="ar-SA"/>
        </w:rPr>
        <w:t xml:space="preserve">инистерству, 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u w:val="none"/>
          <w:shd w:fill="auto" w:val="clear"/>
          <w:lang w:eastAsia="ar-SA"/>
        </w:rPr>
        <w:t xml:space="preserve">а 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u w:val="none"/>
          <w:shd w:fill="auto" w:val="clear"/>
          <w:lang w:eastAsia="ar-SA"/>
        </w:rPr>
        <w:t>и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u w:val="none"/>
          <w:shd w:fill="auto" w:val="clear"/>
          <w:lang w:eastAsia="ar-SA"/>
        </w:rPr>
        <w:t>м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u w:val="none"/>
          <w:shd w:fill="auto" w:val="clear"/>
          <w:lang w:eastAsia="ar-SA"/>
        </w:rPr>
        <w:t>е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u w:val="none"/>
          <w:shd w:fill="auto" w:val="clear"/>
          <w:lang w:eastAsia="ar-SA"/>
        </w:rPr>
        <w:t>н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u w:val="none"/>
          <w:shd w:fill="auto" w:val="clear"/>
          <w:lang w:eastAsia="ar-SA"/>
        </w:rPr>
        <w:t>н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u w:val="none"/>
          <w:shd w:fill="auto" w:val="clear"/>
          <w:lang w:eastAsia="ar-SA"/>
        </w:rPr>
        <w:t>о</w:t>
      </w: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u w:val="none"/>
          <w:shd w:fill="auto" w:val="clear"/>
          <w:lang w:eastAsia="ar-SA"/>
        </w:rPr>
        <w:t xml:space="preserve">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предоставлени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е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 xml:space="preserve">: </w:t>
      </w:r>
    </w:p>
    <w:p>
      <w:pPr>
        <w:pStyle w:val="Normal"/>
        <w:widowControl/>
        <w:spacing w:lineRule="auto" w:line="360" w:before="0" w:after="0"/>
        <w:ind w:firstLine="709" w:left="0" w:right="0"/>
        <w:jc w:val="both"/>
        <w:rPr>
          <w:rFonts w:ascii="Times New Roman" w:hAnsi="Times New Roman"/>
        </w:rPr>
      </w:pP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опекунам (попечителям), в том числе приемным родителям, ежемесячных денежных средств на содержание детей-сирот и детей, оставшихся без попечения родителей;</w:t>
      </w:r>
    </w:p>
    <w:p>
      <w:pPr>
        <w:pStyle w:val="Normal"/>
        <w:widowControl/>
        <w:spacing w:lineRule="auto" w:line="360" w:before="0" w:after="0"/>
        <w:ind w:firstLine="709" w:left="0" w:right="0"/>
        <w:jc w:val="both"/>
        <w:rPr>
          <w:rFonts w:ascii="Times New Roman" w:hAnsi="Times New Roman"/>
        </w:rPr>
      </w:pP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вознаграждения приемным родителям, мер социальной поддержки приемным семьям;</w:t>
      </w:r>
    </w:p>
    <w:p>
      <w:pPr>
        <w:pStyle w:val="BodyText"/>
        <w:widowControl/>
        <w:spacing w:lineRule="auto" w:line="360" w:before="0" w:after="0"/>
        <w:ind w:firstLine="709" w:left="0" w:right="0"/>
        <w:jc w:val="both"/>
        <w:rPr>
          <w:highlight w:val="none"/>
          <w:shd w:fill="auto" w:val="clear"/>
        </w:rPr>
      </w:pPr>
      <w:r>
        <w:rPr>
          <w:rFonts w:eastAsia="PT Astra Serif" w:cs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гражданам, усыновившим (удочерившим) детей-сирот и детей, оставшихся без попечения родителей, социальной выплаты на улучшение жилищных условий;</w:t>
      </w:r>
    </w:p>
    <w:p>
      <w:pPr>
        <w:pStyle w:val="BodyText"/>
        <w:widowControl/>
        <w:spacing w:lineRule="auto" w:line="360" w:before="0" w:after="0"/>
        <w:ind w:firstLine="709" w:left="0" w:right="0"/>
        <w:jc w:val="both"/>
        <w:rPr>
          <w:highlight w:val="none"/>
          <w:shd w:fill="auto" w:val="clear"/>
        </w:rPr>
      </w:pPr>
      <w:r>
        <w:rPr>
          <w:rFonts w:eastAsia="PT Astra Serif" w:cs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выплаты на обеспечение бесплатным питанием, бесплатным комплектом одежды, обуви и мягким инвентарем детям-сиротам и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родителя, обучающимся по очной форме обучения за счет средств краевого бюджета или местных бюджетов по образовательным программам основного общего, среднего общего образования;</w:t>
      </w:r>
    </w:p>
    <w:p>
      <w:pPr>
        <w:pStyle w:val="BodyText"/>
        <w:widowControl/>
        <w:spacing w:lineRule="auto" w:line="360" w:before="0" w:after="0"/>
        <w:ind w:firstLine="709" w:left="0" w:right="0"/>
        <w:jc w:val="both"/>
        <w:rPr>
          <w:highlight w:val="none"/>
          <w:shd w:fill="auto" w:val="clear"/>
        </w:rPr>
      </w:pPr>
      <w:r>
        <w:rPr>
          <w:rFonts w:eastAsia="PT Astra Serif" w:cs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компенсации на возмещение расходов на проезд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основным профессиональным образовательным программам, а также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за счет средств краевого бюджета или местных бюджетов по образовательным программам основного общего, среднего общего образования;</w:t>
      </w:r>
    </w:p>
    <w:p>
      <w:pPr>
        <w:pStyle w:val="BodyText"/>
        <w:widowControl/>
        <w:spacing w:lineRule="auto" w:line="360" w:before="0" w:after="0"/>
        <w:ind w:firstLine="709" w:left="0" w:right="0"/>
        <w:jc w:val="both"/>
        <w:rPr>
          <w:highlight w:val="none"/>
          <w:shd w:fill="auto" w:val="clear"/>
        </w:rPr>
      </w:pPr>
      <w:r>
        <w:rPr>
          <w:rFonts w:eastAsia="PT Astra Serif" w:cs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  <w:t>выплаты на ремонт жилого помещения лицам из числа детей-сирот и детей, оставшихся без попечения родителей.</w:t>
      </w:r>
    </w:p>
    <w:p>
      <w:pPr>
        <w:pStyle w:val="BodyText"/>
        <w:widowControl/>
        <w:suppressAutoHyphens w:val="true"/>
        <w:bidi w:val="0"/>
        <w:spacing w:lineRule="auto" w:line="360" w:before="0" w:after="0"/>
        <w:ind w:firstLine="709" w:left="0" w:right="0"/>
        <w:jc w:val="both"/>
        <w:rPr>
          <w:highlight w:val="none"/>
          <w:shd w:fill="auto" w:val="clear"/>
        </w:rPr>
      </w:pPr>
      <w:r>
        <w:rPr>
          <w:rFonts w:eastAsia="PT Astra Serif"/>
          <w:b w:val="false"/>
          <w:bCs w:val="false"/>
          <w:color w:val="000000"/>
          <w:spacing w:val="1"/>
          <w:kern w:val="0"/>
          <w:sz w:val="28"/>
          <w:szCs w:val="28"/>
          <w:shd w:fill="auto" w:val="clear"/>
          <w:lang w:val="ru-RU" w:eastAsia="ar-SA" w:bidi="ar-SA"/>
        </w:rPr>
        <w:t>Проектом закона предлагается также:</w:t>
      </w:r>
    </w:p>
    <w:p>
      <w:pPr>
        <w:pStyle w:val="BodyText"/>
        <w:widowControl/>
        <w:suppressAutoHyphens w:val="true"/>
        <w:bidi w:val="0"/>
        <w:spacing w:lineRule="auto" w:line="360" w:before="0" w:after="0"/>
        <w:ind w:firstLine="709" w:left="0" w:right="0"/>
        <w:jc w:val="both"/>
        <w:rPr>
          <w:highlight w:val="none"/>
          <w:shd w:fill="auto" w:val="clear"/>
        </w:rPr>
      </w:pPr>
      <w:r>
        <w:rPr>
          <w:rFonts w:eastAsia="PT Astra Serif"/>
          <w:b w:val="false"/>
          <w:bCs w:val="false"/>
          <w:color w:val="000000"/>
          <w:spacing w:val="1"/>
          <w:kern w:val="0"/>
          <w:sz w:val="28"/>
          <w:szCs w:val="28"/>
          <w:shd w:fill="auto" w:val="clear"/>
          <w:lang w:val="ru-RU" w:eastAsia="ar-SA" w:bidi="ar-SA"/>
        </w:rPr>
        <w:t>изменить наименование и преамбулу Закона Приморского края от          06 июня 2005 года № 258-КЗ «О порядке и размерах выплаты ежемесячных денежных средств опекунам (попечителям) на содержание детей, находящихся под опекой (попечительством)», заменив слово «выплаты» на «предоставление» в целях приведения к единообразию с текстом Закона;</w:t>
      </w:r>
    </w:p>
    <w:p>
      <w:pPr>
        <w:pStyle w:val="BodyText"/>
        <w:widowControl/>
        <w:spacing w:lineRule="auto" w:line="360" w:before="0" w:after="0"/>
        <w:ind w:firstLine="709" w:left="0" w:right="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8"/>
          <w:szCs w:val="28"/>
          <w:shd w:fill="auto" w:val="clear"/>
        </w:rPr>
        <w:t>изменить формулировку части 4 статьи 1 Закона Приморского края от    10 мая 2006 года № 358-КЗ «О предоставлении мер социальной поддержки приемным семьям в Приморском крае и вознаграждении приемным родителям», конкретизировав величину надбавки к вознаграждению приемным родителя</w:t>
      </w:r>
      <w:r>
        <w:rPr>
          <w:b w:val="false"/>
          <w:bCs w:val="false"/>
          <w:color w:val="auto"/>
          <w:sz w:val="28"/>
          <w:szCs w:val="28"/>
          <w:shd w:fill="auto" w:val="clear"/>
        </w:rPr>
        <w:t>м, что сделает максимально прозрачным и точным для граждан порядок фактического расчета вознаграждения приемным родителям. Порядок расчета размеров вознаграждения приемным родителям и доплат останется без изменений;</w:t>
      </w:r>
    </w:p>
    <w:p>
      <w:pPr>
        <w:pStyle w:val="BodyText"/>
        <w:widowControl/>
        <w:suppressAutoHyphens w:val="true"/>
        <w:bidi w:val="0"/>
        <w:spacing w:lineRule="auto" w:line="360" w:before="0" w:after="0"/>
        <w:ind w:firstLine="709" w:left="0" w:right="0"/>
        <w:jc w:val="both"/>
        <w:rPr>
          <w:highlight w:val="none"/>
          <w:shd w:fill="auto" w:val="clear"/>
        </w:rPr>
      </w:pPr>
      <w:r>
        <w:rPr>
          <w:rFonts w:eastAsia="PT Astra Serif"/>
          <w:b w:val="false"/>
          <w:bCs w:val="false"/>
          <w:color w:val="000000"/>
          <w:spacing w:val="1"/>
          <w:kern w:val="0"/>
          <w:sz w:val="28"/>
          <w:szCs w:val="28"/>
          <w:shd w:fill="auto" w:val="clear"/>
          <w:lang w:val="ru-RU" w:eastAsia="ar-SA" w:bidi="ar-SA"/>
        </w:rPr>
        <w:t>сокращение перечня сведений, подлежащих размещению в государственной информационной системе «Единая централизованная цифровая платформа в социальной сфере» в целях синхронизации обмена данными и исключения задвоения, в связи с осуществлением информационного обмена с Федеральной налоговой службой.</w:t>
      </w:r>
    </w:p>
    <w:p>
      <w:pPr>
        <w:pStyle w:val="BodyText"/>
        <w:widowControl/>
        <w:spacing w:lineRule="auto" w:line="240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highlight w:val="none"/>
          <w:shd w:fill="auto" w:val="clear"/>
        </w:rPr>
      </w:pPr>
      <w:r>
        <w:rPr>
          <w:b w:val="false"/>
          <w:bCs w:val="false"/>
          <w:sz w:val="28"/>
          <w:szCs w:val="28"/>
          <w:shd w:fill="auto" w:val="clear"/>
        </w:rPr>
      </w:r>
    </w:p>
    <w:p>
      <w:pPr>
        <w:pStyle w:val="Normal"/>
        <w:spacing w:lineRule="auto" w:line="240"/>
        <w:jc w:val="both"/>
        <w:rPr>
          <w:color w:val="FF4000"/>
          <w:u w:val="none"/>
          <w:shd w:fill="auto" w:val="clear"/>
        </w:rPr>
      </w:pPr>
      <w:r>
        <w:rPr>
          <w:color w:val="FF4000"/>
          <w:u w:val="none"/>
          <w:shd w:fill="auto" w:val="clear"/>
        </w:rPr>
      </w:r>
    </w:p>
    <w:p>
      <w:pPr>
        <w:pStyle w:val="ConsPlusTitle"/>
        <w:spacing w:lineRule="auto" w:line="240"/>
        <w:ind w:firstLine="709"/>
        <w:jc w:val="both"/>
        <w:rPr>
          <w:rFonts w:ascii="Times New Roman" w:hAnsi="Times New Roman" w:eastAsia="PT Astra Serif" w:cs="Times New Roman"/>
          <w:b w:val="false"/>
          <w:bCs w:val="false"/>
          <w:color w:val="000000"/>
          <w:spacing w:val="1"/>
          <w:sz w:val="28"/>
          <w:szCs w:val="28"/>
          <w:highlight w:val="none"/>
          <w:shd w:fill="auto" w:val="clear"/>
          <w:lang w:eastAsia="ar-SA"/>
        </w:rPr>
      </w:pP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</w:r>
    </w:p>
    <w:tbl>
      <w:tblPr>
        <w:tblW w:w="9555" w:type="dxa"/>
        <w:jc w:val="left"/>
        <w:tblInd w:w="1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146"/>
        <w:gridCol w:w="4409"/>
      </w:tblGrid>
      <w:tr>
        <w:trPr/>
        <w:tc>
          <w:tcPr>
            <w:tcW w:w="5146" w:type="dxa"/>
            <w:tcBorders/>
            <w:shd w:color="auto" w:fill="auto" w:val="clear"/>
          </w:tcPr>
          <w:p>
            <w:pPr>
              <w:pStyle w:val="ConsTitle"/>
              <w:widowControl w:val="false"/>
              <w:ind w:right="0"/>
              <w:jc w:val="center"/>
              <w:rPr/>
            </w:pPr>
            <w:r>
              <w:rPr>
                <w:rStyle w:val="Hyperlink"/>
                <w:rFonts w:cs="PT Astra Serif" w:ascii="Times New Roman" w:hAnsi="Times New Roman"/>
                <w:b w:val="false"/>
                <w:color w:val="000000"/>
                <w:sz w:val="28"/>
                <w:szCs w:val="28"/>
                <w:u w:val="none"/>
                <w:shd w:fill="auto" w:val="clear"/>
              </w:rPr>
              <w:t>Министр труда и социальной политики Приморского края</w:t>
            </w:r>
          </w:p>
        </w:tc>
        <w:tc>
          <w:tcPr>
            <w:tcW w:w="4409" w:type="dxa"/>
            <w:tcBorders/>
            <w:shd w:color="auto" w:fill="auto" w:val="clear"/>
          </w:tcPr>
          <w:p>
            <w:pPr>
              <w:pStyle w:val="Normal"/>
              <w:snapToGrid w:val="false"/>
              <w:jc w:val="right"/>
              <w:rPr>
                <w:rFonts w:ascii="Times New Roman" w:hAnsi="Times New Roman" w:cs="PT Astra Serif"/>
                <w:color w:val="000000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cs="PT Astra Serif" w:ascii="Times New Roman" w:hAnsi="Times New Roman"/>
                <w:color w:val="000000"/>
                <w:sz w:val="28"/>
                <w:szCs w:val="28"/>
                <w:shd w:fill="auto" w:val="clear"/>
              </w:rPr>
            </w:r>
          </w:p>
          <w:p>
            <w:pPr>
              <w:pStyle w:val="Normal"/>
              <w:snapToGrid w:val="false"/>
              <w:jc w:val="right"/>
              <w:rPr>
                <w:rFonts w:ascii="Times New Roman" w:hAnsi="Times New Roman"/>
              </w:rPr>
            </w:pPr>
            <w:r>
              <w:rPr>
                <w:rFonts w:cs="PT Astra Serif" w:ascii="Times New Roman" w:hAnsi="Times New Roman"/>
                <w:sz w:val="28"/>
                <w:szCs w:val="28"/>
                <w:shd w:fill="auto" w:val="clear"/>
              </w:rPr>
              <w:t>С.В. Красицкая</w:t>
            </w:r>
          </w:p>
        </w:tc>
      </w:tr>
    </w:tbl>
    <w:p>
      <w:pPr>
        <w:pStyle w:val="Normal"/>
        <w:widowControl/>
        <w:jc w:val="both"/>
        <w:rPr>
          <w:rFonts w:ascii="Times New Roman" w:hAnsi="Times New Roman"/>
          <w:sz w:val="28"/>
          <w:szCs w:val="28"/>
          <w:highlight w:val="none"/>
          <w:shd w:fill="auto" w:val="clear"/>
        </w:rPr>
      </w:pPr>
      <w:r>
        <w:rPr>
          <w:rFonts w:ascii="Times New Roman" w:hAnsi="Times New Roman"/>
          <w:sz w:val="28"/>
          <w:szCs w:val="28"/>
          <w:shd w:fill="auto" w:val="clear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851" w:gutter="0" w:header="285" w:top="851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NTTimes/Cyrillic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3</w:t>
    </w:r>
    <w:r>
      <w:rPr>
        <w:sz w:val="28"/>
        <w:szCs w:val="28"/>
      </w:rPr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2"/>
  <w:embedSystemFonts/>
  <w:defaultTabStop w:val="720"/>
  <w:autoHyphenation w:val="true"/>
  <w:hyphenationZone w:val="360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NTTimes/Cyrillic" w:hAnsi="NTTimes/Cyrillic" w:eastAsia="Times New Roman" w:cs="NTTimes/Cyrillic"/>
      <w:color w:val="auto"/>
      <w:kern w:val="0"/>
      <w:sz w:val="24"/>
      <w:szCs w:val="20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spacing w:lineRule="exact" w:line="280" w:before="120" w:after="0"/>
      <w:jc w:val="center"/>
      <w:outlineLvl w:val="0"/>
    </w:pPr>
    <w:rPr>
      <w:rFonts w:ascii="Times New Roman" w:hAnsi="Times New Roman" w:cs="Times New Roman"/>
      <w:b/>
      <w:sz w:val="28"/>
    </w:rPr>
  </w:style>
  <w:style w:type="paragraph" w:styleId="Heading2">
    <w:name w:val="heading 2"/>
    <w:basedOn w:val="Normal"/>
    <w:next w:val="Normal"/>
    <w:qFormat/>
    <w:pPr>
      <w:keepNext w:val="true"/>
      <w:spacing w:lineRule="exact" w:line="240"/>
      <w:jc w:val="center"/>
      <w:outlineLvl w:val="1"/>
    </w:pPr>
    <w:rPr>
      <w:rFonts w:ascii="Times New Roman" w:hAnsi="Times New Roman" w:cs="Times New Roman"/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1" w:customStyle="1">
    <w:name w:val="Основной шрифт абзаца1"/>
    <w:qFormat/>
    <w:rPr/>
  </w:style>
  <w:style w:type="character" w:styleId="WW-" w:customStyle="1">
    <w:name w:val="WW-Основной шрифт абзаца"/>
    <w:qFormat/>
    <w:rPr>
      <w:sz w:val="20"/>
    </w:rPr>
  </w:style>
  <w:style w:type="character" w:styleId="Hyperlink">
    <w:name w:val="Hyperlink"/>
    <w:rPr>
      <w:color w:val="0000FF"/>
      <w:sz w:val="20"/>
      <w:u w:val="single"/>
    </w:rPr>
  </w:style>
  <w:style w:type="character" w:styleId="FollowedHyperlink">
    <w:name w:val="FollowedHyperlink"/>
    <w:rPr>
      <w:color w:val="800080"/>
      <w:sz w:val="20"/>
      <w:u w:val="single"/>
    </w:rPr>
  </w:style>
  <w:style w:type="character" w:styleId="PageNumber">
    <w:name w:val="page number"/>
    <w:basedOn w:val="1"/>
    <w:qFormat/>
    <w:rPr/>
  </w:style>
  <w:style w:type="character" w:styleId="Style12" w:customStyle="1">
    <w:name w:val="Текст выноски Знак"/>
    <w:qFormat/>
    <w:rPr>
      <w:rFonts w:ascii="Tahoma" w:hAnsi="Tahoma" w:cs="Tahoma"/>
      <w:sz w:val="16"/>
      <w:szCs w:val="16"/>
    </w:rPr>
  </w:style>
  <w:style w:type="character" w:styleId="2" w:customStyle="1">
    <w:name w:val="Основной текст 2 Знак"/>
    <w:qFormat/>
    <w:rPr>
      <w:rFonts w:ascii="NTTimes/Cyrillic" w:hAnsi="NTTimes/Cyrillic" w:cs="NTTimes/Cyrillic"/>
      <w:sz w:val="24"/>
    </w:rPr>
  </w:style>
  <w:style w:type="character" w:styleId="Style13" w:customStyle="1">
    <w:name w:val="Верхний колонтитул Знак"/>
    <w:uiPriority w:val="99"/>
    <w:qFormat/>
    <w:rPr>
      <w:rFonts w:ascii="NTTimes/Cyrillic" w:hAnsi="NTTimes/Cyrillic" w:cs="NTTimes/Cyrillic"/>
      <w:sz w:val="24"/>
    </w:rPr>
  </w:style>
  <w:style w:type="character" w:styleId="21" w:customStyle="1">
    <w:name w:val="Основной текст с отступом 2 Знак"/>
    <w:qFormat/>
    <w:rPr>
      <w:rFonts w:ascii="NTTimes/Cyrillic" w:hAnsi="NTTimes/Cyrillic" w:cs="NTTimes/Cyrillic"/>
      <w:sz w:val="24"/>
    </w:rPr>
  </w:style>
  <w:style w:type="character" w:styleId="apple-converted-space" w:customStyle="1">
    <w:name w:val="apple-converted-space"/>
    <w:qFormat/>
    <w:rPr/>
  </w:style>
  <w:style w:type="character" w:styleId="11" w:customStyle="1">
    <w:name w:val="Знак примечания1"/>
    <w:qFormat/>
    <w:rPr>
      <w:sz w:val="16"/>
      <w:szCs w:val="16"/>
    </w:rPr>
  </w:style>
  <w:style w:type="character" w:styleId="Style14" w:customStyle="1">
    <w:name w:val="Текст примечания Знак"/>
    <w:qFormat/>
    <w:rPr>
      <w:rFonts w:ascii="NTTimes/Cyrillic" w:hAnsi="NTTimes/Cyrillic" w:cs="NTTimes/Cyrillic"/>
    </w:rPr>
  </w:style>
  <w:style w:type="character" w:styleId="Style15" w:customStyle="1">
    <w:name w:val="Тема примечания Знак"/>
    <w:qFormat/>
    <w:rPr>
      <w:rFonts w:ascii="NTTimes/Cyrillic" w:hAnsi="NTTimes/Cyrillic" w:cs="NTTimes/Cyrillic"/>
      <w:b/>
      <w:bCs/>
    </w:rPr>
  </w:style>
  <w:style w:type="character" w:styleId="Strong">
    <w:name w:val="Strong"/>
    <w:qFormat/>
    <w:rPr>
      <w:b/>
      <w:bCs/>
    </w:rPr>
  </w:style>
  <w:style w:type="character" w:styleId="pagesindoccount">
    <w:name w:val="pagesindoccount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BodyText">
    <w:name w:val="Body Text"/>
    <w:basedOn w:val="Normal"/>
    <w:pPr>
      <w:spacing w:lineRule="exact" w:line="280"/>
      <w:jc w:val="center"/>
    </w:pPr>
    <w:rPr>
      <w:rFonts w:ascii="Times New Roman" w:hAnsi="Times New Roman" w:cs="Times New Roman"/>
      <w:b/>
      <w:sz w:val="22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Lucida Sans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 w:customStyle="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3" w:customStyle="1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odyTextIndent">
    <w:name w:val="Body Text Indent"/>
    <w:basedOn w:val="Normal"/>
    <w:pPr>
      <w:widowControl/>
      <w:spacing w:lineRule="auto" w:line="360"/>
      <w:ind w:firstLine="709"/>
      <w:jc w:val="both"/>
    </w:pPr>
    <w:rPr>
      <w:sz w:val="26"/>
    </w:rPr>
  </w:style>
  <w:style w:type="paragraph" w:styleId="Style18" w:customStyle="1">
    <w:name w:val="Верхний и нижний колонтитулы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19" w:customStyle="1">
    <w:name w:val="Колонтитул"/>
    <w:basedOn w:val="Normal"/>
    <w:qFormat/>
    <w:pPr/>
    <w:rPr/>
  </w:style>
  <w:style w:type="paragraph" w:styleId="Style20" w:customStyle="1">
    <w:name w:val="Колонтитулы"/>
    <w:basedOn w:val="Normal"/>
    <w:qFormat/>
    <w:pPr/>
    <w:rPr/>
  </w:style>
  <w:style w:type="paragraph" w:styleId="user2" w:customStyle="1">
    <w:name w:val="Колонтитулы (user)"/>
    <w:basedOn w:val="Normal"/>
    <w:qFormat/>
    <w:pPr/>
    <w:rPr/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Normal"/>
    <w:uiPriority w:val="99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 w:customStyle="1">
    <w:name w:val="Основной текст 21"/>
    <w:basedOn w:val="Normal"/>
    <w:qFormat/>
    <w:pPr>
      <w:spacing w:lineRule="auto" w:line="480" w:before="0" w:after="120"/>
    </w:pPr>
    <w:rPr/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22" w:customStyle="1">
    <w:name w:val="Основной текст с отступом 22"/>
    <w:basedOn w:val="Normal"/>
    <w:qFormat/>
    <w:pPr>
      <w:spacing w:lineRule="auto" w:line="480" w:before="0" w:after="120"/>
      <w:ind w:left="283"/>
    </w:pPr>
    <w:rPr/>
  </w:style>
  <w:style w:type="paragraph" w:styleId="NormalWeb">
    <w:name w:val="Normal (Web)"/>
    <w:basedOn w:val="Normal"/>
    <w:qFormat/>
    <w:pPr>
      <w:widowControl/>
      <w:spacing w:before="100" w:after="119"/>
    </w:pPr>
    <w:rPr>
      <w:rFonts w:ascii="Times New Roman" w:hAnsi="Times New Roman" w:cs="Times New Roman"/>
      <w:szCs w:val="24"/>
    </w:rPr>
  </w:style>
  <w:style w:type="paragraph" w:styleId="14" w:customStyle="1">
    <w:name w:val="Обычный (веб)1"/>
    <w:basedOn w:val="Normal"/>
    <w:qFormat/>
    <w:pPr>
      <w:spacing w:before="100" w:after="100"/>
    </w:pPr>
    <w:rPr>
      <w:rFonts w:ascii="Times New Roman" w:hAnsi="Times New Roman" w:cs="Times New Roman"/>
      <w:kern w:val="2"/>
      <w:szCs w:val="24"/>
      <w:lang w:bidi="hi-IN"/>
    </w:rPr>
  </w:style>
  <w:style w:type="paragraph" w:styleId="212" w:customStyle="1">
    <w:name w:val="Основной текст с отступом 21"/>
    <w:basedOn w:val="Normal"/>
    <w:qFormat/>
    <w:pPr>
      <w:spacing w:lineRule="auto" w:line="480" w:before="0" w:after="120"/>
      <w:ind w:left="283"/>
    </w:pPr>
    <w:rPr/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zh-CN" w:bidi="ar-SA"/>
    </w:rPr>
  </w:style>
  <w:style w:type="paragraph" w:styleId="15" w:customStyle="1">
    <w:name w:val="Текст примечания1"/>
    <w:basedOn w:val="Normal"/>
    <w:qFormat/>
    <w:pPr/>
    <w:rPr>
      <w:sz w:val="20"/>
    </w:rPr>
  </w:style>
  <w:style w:type="paragraph" w:styleId="annotationsubject">
    <w:name w:val="annotation subject"/>
    <w:basedOn w:val="15"/>
    <w:next w:val="15"/>
    <w:qFormat/>
    <w:pPr/>
    <w:rPr>
      <w:b/>
      <w:bCs/>
    </w:rPr>
  </w:style>
  <w:style w:type="paragraph" w:styleId="user3" w:customStyle="1">
    <w:name w:val="Содержимое таблицы (user)"/>
    <w:basedOn w:val="Normal"/>
    <w:qFormat/>
    <w:pPr>
      <w:suppressLineNumbers/>
    </w:pPr>
    <w:rPr/>
  </w:style>
  <w:style w:type="paragraph" w:styleId="user4" w:customStyle="1">
    <w:name w:val="Заголовок таблицы (user)"/>
    <w:basedOn w:val="user3"/>
    <w:qFormat/>
    <w:pPr>
      <w:jc w:val="center"/>
    </w:pPr>
    <w:rPr>
      <w:b/>
      <w:bCs/>
    </w:rPr>
  </w:style>
  <w:style w:type="paragraph" w:styleId="ConsTitle" w:customStyle="1">
    <w:name w:val="ConsTitle"/>
    <w:qFormat/>
    <w:pPr>
      <w:widowControl/>
      <w:suppressAutoHyphens w:val="true"/>
      <w:bidi w:val="0"/>
      <w:spacing w:before="0" w:after="0"/>
      <w:ind w:right="19772"/>
      <w:jc w:val="left"/>
    </w:pPr>
    <w:rPr>
      <w:rFonts w:ascii="Arial" w:hAnsi="Arial" w:eastAsia="Times New Roman" w:cs="Arial"/>
      <w:b/>
      <w:color w:val="auto"/>
      <w:kern w:val="0"/>
      <w:sz w:val="16"/>
      <w:szCs w:val="20"/>
      <w:lang w:val="ru-RU" w:eastAsia="zh-CN" w:bidi="ar-SA"/>
    </w:rPr>
  </w:style>
  <w:style w:type="numbering" w:styleId="user5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Application>LibreOffice/25.8.4.2$Linux_X86_64 LibreOffice_project/580$Build-2</Application>
  <AppVersion>15.0000</AppVersion>
  <Pages>3</Pages>
  <Words>657</Words>
  <Characters>4649</Characters>
  <CharactersWithSpaces>5305</CharactersWithSpaces>
  <Paragraphs>23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2026-05-05T23:47:00Z</dcterms:created>
  <dc:creator>Чайка Татьяна Викторовна</dc:creator>
  <dc:description/>
  <dc:language>ru-RU</dc:language>
  <cp:lastModifiedBy/>
  <cp:lastPrinted>2025-02-14T16:23:00Z</cp:lastPrinted>
  <dcterms:modified xsi:type="dcterms:W3CDTF">2026-10-09T17:49:56Z</dcterms:modified>
  <cp:revision>38</cp:revision>
  <dc:subject/>
  <dc:title>Закон Приморского края от 24.12.2018 N 433-КЗ(ред. от 01.03.2023)"Об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края"(принят Законодательным Собранием Приморского края 19.12.2018)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