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ind w:hanging="0" w:right="22"/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ФИНАНСОВО-ЭКОНОМИЧЕСКОЕ ОБОСНОВАНИЕ</w:t>
      </w:r>
    </w:p>
    <w:p>
      <w:pPr>
        <w:pStyle w:val="Normal"/>
        <w:shd w:val="clear" w:color="auto" w:fill="FFFFFF"/>
        <w:ind w:hanging="0" w:right="22"/>
        <w:jc w:val="center"/>
        <w:rPr>
          <w:b/>
          <w:bCs/>
          <w:color w:val="000000"/>
          <w:spacing w:val="2"/>
          <w:sz w:val="18"/>
          <w:szCs w:val="18"/>
        </w:rPr>
      </w:pPr>
      <w:r>
        <w:rPr>
          <w:b/>
          <w:bCs/>
          <w:color w:val="000000"/>
          <w:spacing w:val="2"/>
          <w:sz w:val="18"/>
          <w:szCs w:val="1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bCs/>
          <w:color w:val="000000"/>
          <w:spacing w:val="2"/>
          <w:sz w:val="28"/>
          <w:szCs w:val="28"/>
        </w:rPr>
        <w:t>проект</w:t>
      </w:r>
      <w:r>
        <w:rPr>
          <w:bCs/>
          <w:color w:val="000000"/>
          <w:spacing w:val="2"/>
          <w:sz w:val="28"/>
          <w:szCs w:val="28"/>
        </w:rPr>
        <w:t>а</w:t>
      </w:r>
      <w:r>
        <w:rPr>
          <w:bCs/>
          <w:color w:val="000000"/>
          <w:spacing w:val="2"/>
          <w:sz w:val="28"/>
          <w:szCs w:val="28"/>
        </w:rPr>
        <w:t xml:space="preserve"> </w:t>
      </w:r>
      <w:r>
        <w:rPr>
          <w:bCs/>
          <w:sz w:val="28"/>
          <w:szCs w:val="28"/>
        </w:rPr>
        <w:t>закона Приморского края</w:t>
      </w:r>
      <w:r>
        <w:rPr>
          <w:sz w:val="28"/>
          <w:szCs w:val="28"/>
        </w:rPr>
        <w:t xml:space="preserve"> </w:t>
      </w:r>
      <w:r>
        <w:rPr>
          <w:rFonts w:eastAsia="Calibri" w:cs="PT Astra Serif;Times New Roman"/>
          <w:b w:val="false"/>
          <w:bCs w:val="false"/>
          <w:color w:val="000000"/>
          <w:spacing w:val="2"/>
          <w:sz w:val="28"/>
          <w:szCs w:val="28"/>
          <w:shd w:fill="auto" w:val="clear"/>
        </w:rPr>
        <w:t>"</w:t>
      </w:r>
      <w:r>
        <w:rPr>
          <w:rFonts w:eastAsia="Calibri"/>
          <w:color w:val="000000"/>
          <w:spacing w:val="2"/>
          <w:sz w:val="28"/>
          <w:szCs w:val="28"/>
        </w:rPr>
        <w:t>О внесении изменений в</w:t>
      </w:r>
      <w:r>
        <w:rPr>
          <w:rFonts w:eastAsia="Calibri" w:cs="Times New Roman"/>
          <w:color w:val="000000"/>
          <w:spacing w:val="2"/>
          <w:sz w:val="28"/>
          <w:szCs w:val="28"/>
          <w:shd w:fill="auto" w:val="clear"/>
        </w:rPr>
        <w:t xml:space="preserve"> Закон Приморского края </w:t>
      </w:r>
      <w:r>
        <w:rPr>
          <w:rFonts w:eastAsia="Calibri" w:cs="Times New Roman"/>
          <w:bCs/>
          <w:color w:val="000000"/>
          <w:spacing w:val="2"/>
          <w:sz w:val="28"/>
          <w:szCs w:val="28"/>
          <w:shd w:fill="auto" w:val="clear"/>
        </w:rPr>
        <w:t>"</w:t>
      </w:r>
      <w:r>
        <w:rPr>
          <w:rFonts w:eastAsia="Calibri" w:cs="Times New Roman"/>
          <w:color w:val="000000"/>
          <w:spacing w:val="2"/>
          <w:sz w:val="28"/>
          <w:szCs w:val="28"/>
          <w:shd w:fill="auto" w:val="clear"/>
        </w:rPr>
        <w:t>О предоставлении мер социальной поддержки в области обеспечения транспортной доступности  отдельным категориям граждан,</w:t>
      </w:r>
    </w:p>
    <w:p>
      <w:pPr>
        <w:pStyle w:val="Normal"/>
        <w:jc w:val="center"/>
        <w:rPr>
          <w:sz w:val="28"/>
          <w:szCs w:val="28"/>
        </w:rPr>
      </w:pPr>
      <w:r>
        <w:rPr>
          <w:rFonts w:cs="Times New Roman"/>
          <w:sz w:val="28"/>
          <w:szCs w:val="28"/>
          <w:shd w:fill="auto" w:val="clear"/>
        </w:rPr>
        <w:t xml:space="preserve"> </w:t>
      </w:r>
      <w:r>
        <w:rPr>
          <w:rFonts w:cs="Times New Roman"/>
          <w:sz w:val="28"/>
          <w:szCs w:val="28"/>
          <w:shd w:fill="auto" w:val="clear"/>
        </w:rPr>
        <w:t>проживающим на территории Приморского края</w:t>
      </w:r>
      <w:r>
        <w:rPr>
          <w:rFonts w:cs="Times New Roman"/>
          <w:bCs/>
          <w:sz w:val="28"/>
          <w:szCs w:val="28"/>
          <w:shd w:fill="auto" w:val="clear"/>
        </w:rPr>
        <w:t xml:space="preserve">" </w:t>
      </w:r>
    </w:p>
    <w:p>
      <w:pPr>
        <w:pStyle w:val="Normal"/>
        <w:jc w:val="center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</w:r>
    </w:p>
    <w:p>
      <w:pPr>
        <w:pStyle w:val="Normal"/>
        <w:jc w:val="center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</w:r>
    </w:p>
    <w:p>
      <w:pPr>
        <w:pStyle w:val="Normal"/>
        <w:widowControl w:val="false"/>
        <w:spacing w:lineRule="auto" w:line="360" w:before="0" w:after="0"/>
        <w:ind w:firstLine="567" w:left="0" w:right="0"/>
        <w:jc w:val="both"/>
        <w:rPr>
          <w:color w:val="000000"/>
          <w:spacing w:val="2"/>
          <w:sz w:val="28"/>
          <w:szCs w:val="28"/>
          <w:highlight w:val="none"/>
        </w:rPr>
      </w:pPr>
      <w:r>
        <w:rPr>
          <w:bCs/>
          <w:color w:val="000000"/>
          <w:spacing w:val="2"/>
          <w:sz w:val="28"/>
          <w:szCs w:val="28"/>
        </w:rPr>
        <w:t>На предоставление мер социальной поддержки в области обеспечения транспортной доступности отдельным категориям граждан, проживающим на территории Приморского края в краевом бюджете на 2026 2028 годы предусмотрено по 205,73 млн руб. ежегодно.</w:t>
      </w:r>
      <w:r>
        <w:rPr>
          <w:bCs/>
          <w:color w:val="000000"/>
          <w:spacing w:val="2"/>
          <w:sz w:val="28"/>
          <w:szCs w:val="28"/>
          <w:highlight w:val="yellow"/>
        </w:rPr>
        <w:t xml:space="preserve"> </w:t>
      </w:r>
    </w:p>
    <w:p>
      <w:pPr>
        <w:pStyle w:val="Normal"/>
        <w:widowControl w:val="false"/>
        <w:spacing w:lineRule="auto" w:line="360" w:before="0" w:after="0"/>
        <w:ind w:firstLine="567" w:left="0" w:right="0"/>
        <w:jc w:val="both"/>
        <w:rPr>
          <w:color w:val="000000"/>
          <w:spacing w:val="2"/>
          <w:sz w:val="28"/>
          <w:szCs w:val="28"/>
          <w:highlight w:val="none"/>
        </w:rPr>
      </w:pPr>
      <w:r>
        <w:rPr>
          <w:bCs/>
          <w:color w:val="000000"/>
          <w:spacing w:val="2"/>
          <w:sz w:val="28"/>
          <w:szCs w:val="28"/>
        </w:rPr>
        <w:t>Проектом постановления предусматривается категория получателей, имеющих право меры социальной поддержки в области обеспечения равной транспортной доступности, проживающих на территории Приморского края из числа граждан Республики Беларусь, относящихся к категориям инвалиды войны, участники Великой Отечественной войны, члены семей погибших (умерших) инвалидов войны и участников Великой Отечественной войны.</w:t>
      </w:r>
    </w:p>
    <w:p>
      <w:pPr>
        <w:pStyle w:val="Normal"/>
        <w:widowControl w:val="false"/>
        <w:spacing w:lineRule="auto" w:line="360" w:before="0" w:after="0"/>
        <w:ind w:firstLine="567" w:left="0" w:right="0"/>
        <w:jc w:val="both"/>
        <w:rPr>
          <w:color w:val="000000"/>
        </w:rPr>
      </w:pPr>
      <w:r>
        <w:rPr>
          <w:bCs/>
          <w:color w:val="000000"/>
          <w:spacing w:val="2"/>
          <w:sz w:val="28"/>
          <w:szCs w:val="28"/>
        </w:rPr>
        <w:t>По сведениям, имеющимся в краевом государственном казённом учреждении «Центр социальной поддержки населения Приморского края» (далее - Учреждение), в настоящее время на учёте состоят 37 граждан Респу</w:t>
      </w:r>
      <w:r>
        <w:rPr>
          <w:bCs/>
          <w:color w:val="000000"/>
          <w:spacing w:val="2"/>
          <w:sz w:val="28"/>
          <w:szCs w:val="28"/>
          <w:shd w:fill="auto" w:val="clear"/>
        </w:rPr>
        <w:t xml:space="preserve">блики Беларусь, получающие иные меры социальной поддержки. Учитывая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 xml:space="preserve">динамику перемещения населения между Россией и </w:t>
      </w:r>
      <w:r>
        <w:rPr>
          <w:b w:val="false"/>
          <w:bCs/>
          <w:i w:val="false"/>
          <w:caps w:val="false"/>
          <w:smallCaps w:val="false"/>
          <w:color w:val="000000"/>
          <w:spacing w:val="2"/>
          <w:sz w:val="28"/>
          <w:szCs w:val="28"/>
          <w:shd w:fill="auto" w:val="clear"/>
        </w:rPr>
        <w:t>Республикой Беларусь</w:t>
      </w:r>
      <w:r>
        <w:rPr>
          <w:bCs/>
          <w:color w:val="000000"/>
          <w:spacing w:val="2"/>
          <w:sz w:val="28"/>
          <w:szCs w:val="28"/>
          <w:shd w:fill="auto" w:val="clear"/>
        </w:rPr>
        <w:t xml:space="preserve"> считаем, что мера социальной поддержки на проезд будет востребована среди  участников Великой Отечественной войны, членов семей погибших (умерших) инвалидов войны и участников Великой Отечественной войны.</w:t>
      </w:r>
    </w:p>
    <w:p>
      <w:pPr>
        <w:pStyle w:val="Normal"/>
        <w:widowControl w:val="false"/>
        <w:spacing w:lineRule="auto" w:line="360" w:before="0" w:after="0"/>
        <w:ind w:firstLine="567" w:left="0" w:right="0"/>
        <w:jc w:val="both"/>
        <w:rPr>
          <w:color w:val="000000"/>
          <w:spacing w:val="2"/>
          <w:sz w:val="28"/>
          <w:szCs w:val="28"/>
          <w:highlight w:val="none"/>
        </w:rPr>
      </w:pPr>
      <w:r>
        <w:rPr>
          <w:bCs/>
          <w:color w:val="000000"/>
          <w:spacing w:val="2"/>
          <w:sz w:val="28"/>
          <w:szCs w:val="28"/>
          <w:shd w:fill="auto" w:val="clear"/>
        </w:rPr>
        <w:t>В настоящее время численность граждан Республики Беларусь, относящихся к категории участники и инвалиды Великой Отечественной войны и приравнен</w:t>
      </w:r>
      <w:r>
        <w:rPr>
          <w:bCs/>
          <w:color w:val="000000"/>
          <w:spacing w:val="2"/>
          <w:sz w:val="28"/>
          <w:szCs w:val="28"/>
        </w:rPr>
        <w:t>ные к ним лица, имеющих право меры социальной поддержки в области обеспечения равной транспортной доступности, проживающих на территории Приморского края, определить не представляется возможным.</w:t>
      </w:r>
    </w:p>
    <w:p>
      <w:pPr>
        <w:pStyle w:val="Normal"/>
        <w:widowControl w:val="false"/>
        <w:spacing w:lineRule="auto" w:line="360" w:before="0" w:after="0"/>
        <w:ind w:firstLine="567" w:left="0" w:right="0"/>
        <w:jc w:val="both"/>
        <w:rPr>
          <w:color w:val="000000"/>
          <w:spacing w:val="2"/>
          <w:sz w:val="28"/>
          <w:szCs w:val="28"/>
        </w:rPr>
      </w:pPr>
      <w:r>
        <w:rPr>
          <w:bCs/>
          <w:color w:val="000000"/>
          <w:spacing w:val="2"/>
          <w:sz w:val="28"/>
          <w:szCs w:val="28"/>
        </w:rPr>
        <w:t>Принятие данного законопроекта повлечет за собой незначительное увеличение численности получателей отдельных категорий граждан. Оценить увеличение численности не представляется возможным.</w:t>
      </w:r>
    </w:p>
    <w:p>
      <w:pPr>
        <w:pStyle w:val="Normal"/>
        <w:widowControl w:val="false"/>
        <w:spacing w:lineRule="auto" w:line="360" w:before="0" w:after="0"/>
        <w:ind w:firstLine="567" w:left="0" w:right="0"/>
        <w:jc w:val="both"/>
        <w:rPr/>
      </w:pPr>
      <w:r>
        <w:rPr>
          <w:rFonts w:eastAsia="Times New Roman" w:cs="Times New Roman"/>
          <w:b w:val="false"/>
          <w:bCs/>
          <w:color w:val="000000"/>
          <w:sz w:val="28"/>
          <w:szCs w:val="28"/>
          <w:shd w:fill="auto" w:val="clear"/>
          <w:lang w:val="ru-RU" w:eastAsia="ru-RU" w:bidi="ar-SA"/>
        </w:rPr>
        <w:t xml:space="preserve">Предоставление мер социальной поддержки в области равной транспортной доступности будет предоставляться в пределах средств, предусмотренных министерству труда и социальной политики Приморского края в 2026 2028 годах, на указанные цели. </w:t>
      </w:r>
    </w:p>
    <w:p>
      <w:pPr>
        <w:pStyle w:val="Normal"/>
        <w:widowControl w:val="false"/>
        <w:spacing w:lineRule="auto" w:line="360" w:before="0" w:after="0"/>
        <w:ind w:firstLine="567" w:left="0" w:right="0"/>
        <w:jc w:val="both"/>
        <w:rPr>
          <w:rFonts w:eastAsia="Times New Roman" w:cs="Times New Roman"/>
          <w:b w:val="false"/>
          <w:bCs w:val="false"/>
          <w:color w:val="000000"/>
          <w:sz w:val="28"/>
          <w:szCs w:val="28"/>
          <w:highlight w:val="none"/>
          <w:lang w:val="ru-RU" w:eastAsia="ru-RU" w:bidi="ar-SA"/>
        </w:rPr>
      </w:pPr>
      <w:r>
        <w:rPr>
          <w:rFonts w:eastAsia="Times New Roman" w:cs="Times New Roman"/>
          <w:b w:val="false"/>
          <w:bCs/>
          <w:color w:val="000000"/>
          <w:sz w:val="28"/>
          <w:szCs w:val="28"/>
          <w:shd w:fill="auto" w:val="clear"/>
          <w:lang w:val="ru-RU" w:eastAsia="ru-RU" w:bidi="ar-SA"/>
        </w:rPr>
        <w:t xml:space="preserve">Принятие данного законопроекта не потребует дополнительных бюджетных ассигнований и внесения изменений в Закон Приморского края от </w:t>
      </w:r>
      <w:r>
        <w:rPr>
          <w:rStyle w:val="12"/>
          <w:rFonts w:eastAsia="Calibri" w:cs="Times New Roman"/>
          <w:b w:val="false"/>
          <w:bCs/>
          <w:i w:val="false"/>
          <w:strike w:val="false"/>
          <w:dstrike w:val="false"/>
          <w:color w:val="000000"/>
          <w:spacing w:val="1"/>
          <w:sz w:val="28"/>
          <w:szCs w:val="28"/>
          <w:u w:val="none"/>
          <w:shd w:fill="FFFFFF" w:val="clear"/>
          <w:lang w:val="ru-RU" w:eastAsia="ru-RU" w:bidi="ar-SA"/>
        </w:rPr>
        <w:t xml:space="preserve">17.12.2025 № 930-КЗ «О краевом бюджете на 2026 год и плановый период 2027 и 2028 годов». </w:t>
      </w:r>
    </w:p>
    <w:p>
      <w:pPr>
        <w:pStyle w:val="Normal"/>
        <w:widowControl w:val="false"/>
        <w:spacing w:lineRule="auto" w:line="360" w:before="0" w:after="0"/>
        <w:ind w:firstLine="567" w:left="0" w:right="0"/>
        <w:jc w:val="both"/>
        <w:rPr>
          <w:rFonts w:eastAsia="Times New Roman" w:cs="Times New Roman"/>
          <w:b w:val="false"/>
          <w:bCs w:val="false"/>
          <w:color w:val="000000"/>
          <w:sz w:val="28"/>
          <w:szCs w:val="28"/>
          <w:highlight w:val="none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color w:val="000000"/>
          <w:sz w:val="28"/>
          <w:szCs w:val="28"/>
          <w:lang w:val="ru-RU" w:eastAsia="ru-RU" w:bidi="ar-SA"/>
        </w:rPr>
      </w:r>
    </w:p>
    <w:p>
      <w:pPr>
        <w:pStyle w:val="BodyText"/>
        <w:widowControl w:val="false"/>
        <w:spacing w:lineRule="auto" w:line="360" w:before="0" w:after="0"/>
        <w:ind w:hanging="0" w:left="0" w:righ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85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12"/>
        <w:gridCol w:w="4641"/>
      </w:tblGrid>
      <w:tr>
        <w:trPr/>
        <w:tc>
          <w:tcPr>
            <w:tcW w:w="5212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614" w:leader="none"/>
              </w:tabs>
              <w:spacing w:before="0" w:after="0"/>
              <w:ind w:hanging="227" w:left="-113" w:right="0"/>
              <w:jc w:val="center"/>
              <w:rPr>
                <w:rFonts w:ascii="Times New Roman" w:hAnsi="Times New Roman"/>
                <w:sz w:val="20"/>
                <w:lang w:val="ru-RU" w:eastAsia="zh-CN"/>
              </w:rPr>
            </w:pPr>
            <w:r>
              <w:rPr>
                <w:sz w:val="28"/>
                <w:szCs w:val="28"/>
                <w:lang w:val="ru-RU" w:eastAsia="zh-CN"/>
              </w:rPr>
              <w:t>Министр  труда и социальной политики  Приморского края</w:t>
            </w:r>
          </w:p>
        </w:tc>
        <w:tc>
          <w:tcPr>
            <w:tcW w:w="4641" w:type="dxa"/>
            <w:tcBorders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eastAsia="Tahoma" w:cs="Noto Sans Devanagari;Times New"/>
                <w:sz w:val="28"/>
                <w:szCs w:val="28"/>
              </w:rPr>
            </w:pPr>
            <w:r>
              <w:rPr>
                <w:rFonts w:eastAsia="Tahoma" w:cs="Noto Sans Devanagari;Times New"/>
                <w:sz w:val="28"/>
                <w:szCs w:val="28"/>
              </w:rPr>
            </w:r>
          </w:p>
          <w:p>
            <w:pPr>
              <w:pStyle w:val="Header"/>
              <w:widowControl w:val="false"/>
              <w:shd w:val="clear" w:color="auto" w:fill="FFFFFF"/>
              <w:spacing w:before="0" w:after="0"/>
              <w:jc w:val="both"/>
              <w:rPr>
                <w:rFonts w:ascii="Times New Roman" w:hAnsi="Times New Roman"/>
                <w:sz w:val="20"/>
                <w:lang w:val="ru-RU" w:eastAsia="zh-CN"/>
              </w:rPr>
            </w:pPr>
            <w:r>
              <w:rPr>
                <w:color w:val="000000"/>
                <w:sz w:val="28"/>
                <w:szCs w:val="28"/>
                <w:lang w:val="ru-RU" w:eastAsia="zh-CN"/>
              </w:rPr>
              <w:t xml:space="preserve">                                    </w:t>
            </w:r>
            <w:r>
              <w:rPr>
                <w:color w:val="000000"/>
                <w:sz w:val="28"/>
                <w:szCs w:val="28"/>
                <w:lang w:val="ru-RU" w:eastAsia="zh-CN"/>
              </w:rPr>
              <w:t>С.В. Красицкая</w:t>
            </w:r>
          </w:p>
        </w:tc>
      </w:tr>
    </w:tbl>
    <w:p>
      <w:pPr>
        <w:pStyle w:val="Normal"/>
        <w:shd w:val="clear" w:color="auto" w:fill="FFFFFF"/>
        <w:jc w:val="both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851" w:gutter="0" w:header="0" w:top="567" w:footer="0" w:bottom="897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Segoe UI">
    <w:charset w:val="01"/>
    <w:family w:val="roman"/>
    <w:pitch w:val="variable"/>
  </w:font>
  <w:font w:name="PT Astra Serif">
    <w:charset w:val="01"/>
    <w:family w:val="roman"/>
    <w:pitch w:val="variable"/>
  </w:font>
  <w:font w:name="Tahom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4"/>
        <w:szCs w:val="24"/>
      </w:rPr>
    </w:pPr>
    <w:r>
      <w:rPr>
        <w:sz w:val="24"/>
        <w:szCs w:val="24"/>
      </w:rPr>
    </w:r>
  </w:p>
  <w:p>
    <w:pPr>
      <w:pStyle w:val="Header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2</w:t>
    </w:r>
    <w:r>
      <w:rPr>
        <w:sz w:val="24"/>
        <w:szCs w:val="24"/>
      </w:rPr>
      <w:fldChar w:fldCharType="end"/>
    </w:r>
  </w:p>
  <w:p>
    <w:pPr>
      <w:pStyle w:val="Header"/>
      <w:jc w:val="center"/>
      <w:rPr>
        <w:sz w:val="24"/>
        <w:szCs w:val="24"/>
      </w:rPr>
    </w:pPr>
    <w:r>
      <w:rPr>
        <w:sz w:val="24"/>
        <w:szCs w:val="24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basedOn w:val="DefaultParagraphFont"/>
    <w:uiPriority w:val="35"/>
    <w:qFormat/>
    <w:rPr>
      <w:b/>
      <w:bCs/>
      <w:color w:themeColor="accent1" w:val="4F81BD"/>
      <w:sz w:val="18"/>
      <w:szCs w:val="18"/>
    </w:rPr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qFormat/>
    <w:rPr/>
  </w:style>
  <w:style w:type="character" w:styleId="2">
    <w:name w:val="Основной шрифт абзаца2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color w:val="000000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1">
    <w:name w:val="Основной шрифт абзаца1"/>
    <w:qFormat/>
    <w:rPr/>
  </w:style>
  <w:style w:type="character" w:styleId="PageNumber">
    <w:name w:val="page number"/>
    <w:basedOn w:val="1"/>
    <w:qFormat/>
    <w:rPr/>
  </w:style>
  <w:style w:type="character" w:styleId="11">
    <w:name w:val="Гиперссылка1"/>
    <w:qFormat/>
    <w:rPr>
      <w:color w:val="0000FF"/>
      <w:u w:val="single"/>
    </w:rPr>
  </w:style>
  <w:style w:type="character" w:styleId="ConsPlusNormal">
    <w:name w:val="ConsPlusNormal Знак"/>
    <w:qFormat/>
    <w:rPr>
      <w:rFonts w:ascii="Arial" w:hAnsi="Arial" w:cs="Arial"/>
    </w:rPr>
  </w:style>
  <w:style w:type="character" w:styleId="FontStyle12">
    <w:name w:val="Font Style12"/>
    <w:qFormat/>
    <w:rPr>
      <w:rFonts w:ascii="Times New Roman" w:hAnsi="Times New Roman" w:cs="Times New Roman"/>
      <w:sz w:val="26"/>
      <w:szCs w:val="26"/>
    </w:rPr>
  </w:style>
  <w:style w:type="character" w:styleId="Style7">
    <w:name w:val="Нижний колонтитул Знак"/>
    <w:basedOn w:val="1"/>
    <w:qFormat/>
    <w:rPr/>
  </w:style>
  <w:style w:type="character" w:styleId="Style8">
    <w:name w:val="Верхний колонтитул Знак"/>
    <w:qFormat/>
    <w:rPr/>
  </w:style>
  <w:style w:type="character" w:styleId="Style9">
    <w:name w:val="Текст выноски Знак"/>
    <w:qFormat/>
    <w:rPr>
      <w:rFonts w:ascii="Segoe UI" w:hAnsi="Segoe UI" w:eastAsia="Segoe UI" w:cs="Segoe UI"/>
      <w:sz w:val="18"/>
      <w:szCs w:val="18"/>
    </w:rPr>
  </w:style>
  <w:style w:type="character" w:styleId="Style10">
    <w:name w:val="Основной текст Знак"/>
    <w:qFormat/>
    <w:rPr>
      <w:rFonts w:eastAsia="Times New Roman"/>
      <w:b/>
      <w:szCs w:val="20"/>
    </w:rPr>
  </w:style>
  <w:style w:type="character" w:styleId="Style11">
    <w:name w:val="Символ нумерации"/>
    <w:qFormat/>
    <w:rPr/>
  </w:style>
  <w:style w:type="character" w:styleId="12" w:customStyle="1">
    <w:name w:val="Выделение1"/>
    <w:qFormat/>
    <w:rPr>
      <w:i/>
      <w:iCs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widowControl/>
      <w:jc w:val="center"/>
    </w:pPr>
    <w:rPr>
      <w:sz w:val="26"/>
    </w:rPr>
  </w:style>
  <w:style w:type="paragraph" w:styleId="List">
    <w:name w:val="List"/>
    <w:basedOn w:val="BodyText"/>
    <w:pPr/>
    <w:rPr>
      <w:rFonts w:cs="Noto Sans Devanagari;Times New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Lucida 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Lucida Sans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4"/>
      <w:lang w:val="ru-RU" w:eastAsia="zh-CN" w:bidi="hi-IN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4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Tahoma" w:cs="Noto Sans Devanagari;Times New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Noto Sans Devanagari;Times New"/>
      <w:i/>
      <w:iCs/>
      <w:sz w:val="24"/>
      <w:szCs w:val="24"/>
    </w:rPr>
  </w:style>
  <w:style w:type="paragraph" w:styleId="3">
    <w:name w:val="Указатель3"/>
    <w:basedOn w:val="Normal"/>
    <w:qFormat/>
    <w:pPr>
      <w:suppressLineNumbers/>
    </w:pPr>
    <w:rPr>
      <w:rFonts w:cs="Noto Sans Devanagari;Times New"/>
    </w:rPr>
  </w:style>
  <w:style w:type="paragraph" w:styleId="13">
    <w:name w:val="Заголовок1"/>
    <w:basedOn w:val="Normal"/>
    <w:next w:val="BodyText"/>
    <w:qFormat/>
    <w:pPr>
      <w:keepNext w:val="true"/>
      <w:spacing w:before="240" w:after="120"/>
    </w:pPr>
    <w:rPr>
      <w:rFonts w:eastAsia="Tahoma" w:cs="Noto Sans Devanagari;Times New"/>
      <w:sz w:val="28"/>
      <w:szCs w:val="28"/>
    </w:rPr>
  </w:style>
  <w:style w:type="paragraph" w:styleId="21">
    <w:name w:val="Указатель2"/>
    <w:basedOn w:val="Normal"/>
    <w:qFormat/>
    <w:pPr>
      <w:suppressLineNumbers/>
    </w:pPr>
    <w:rPr>
      <w:rFonts w:cs="Noto Sans Devanagari;Times New"/>
    </w:rPr>
  </w:style>
  <w:style w:type="paragraph" w:styleId="14">
    <w:name w:val="Название объекта1"/>
    <w:basedOn w:val="Normal"/>
    <w:qFormat/>
    <w:pPr>
      <w:suppressLineNumbers/>
      <w:spacing w:before="120" w:after="120"/>
    </w:pPr>
    <w:rPr>
      <w:rFonts w:cs="Noto Sans Devanagari;Times New"/>
      <w:i/>
      <w:iCs/>
      <w:sz w:val="24"/>
      <w:szCs w:val="24"/>
    </w:rPr>
  </w:style>
  <w:style w:type="paragraph" w:styleId="15">
    <w:name w:val="Указатель1"/>
    <w:basedOn w:val="Normal"/>
    <w:qFormat/>
    <w:pPr>
      <w:suppressLineNumbers/>
    </w:pPr>
    <w:rPr>
      <w:rFonts w:cs="Noto Sans Devanagari;Times New"/>
    </w:rPr>
  </w:style>
  <w:style w:type="paragraph" w:styleId="Style14">
    <w:name w:val="Верхний и нижний колонтитулы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15">
    <w:name w:val="Колонтитул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Style16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ConsPlusNormal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zh-CN" w:bidi="ar-SA"/>
    </w:rPr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17">
    <w:name w:val="Содержимое врезки"/>
    <w:basedOn w:val="Normal"/>
    <w:qFormat/>
    <w:pPr/>
    <w:rPr/>
  </w:style>
  <w:style w:type="paragraph" w:styleId="Style18">
    <w:name w:val="Содержимое таблицы"/>
    <w:basedOn w:val="Normal"/>
    <w:qFormat/>
    <w:pPr>
      <w:suppressLineNumbers/>
    </w:pPr>
    <w:rPr/>
  </w:style>
  <w:style w:type="paragraph" w:styleId="Style19">
    <w:name w:val="Заголовок таблицы"/>
    <w:basedOn w:val="Style18"/>
    <w:qFormat/>
    <w:pPr>
      <w:jc w:val="center"/>
    </w:pPr>
    <w:rPr>
      <w:b/>
      <w:bCs/>
    </w:rPr>
  </w:style>
  <w:style w:type="paragraph" w:styleId="Style20">
    <w:name w:val="Верхний колонтитул слева"/>
    <w:basedOn w:val="Normal"/>
    <w:qFormat/>
    <w:pPr>
      <w:suppressLineNumbers/>
      <w:tabs>
        <w:tab w:val="clear" w:pos="720"/>
        <w:tab w:val="center" w:pos="4818" w:leader="none"/>
        <w:tab w:val="right" w:pos="9637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hanging="0" w:left="720"/>
      <w:contextualSpacing/>
    </w:pPr>
    <w:rPr/>
  </w:style>
  <w:style w:type="numbering" w:styleId="user5">
    <w:name w:val="Без списка (user)"/>
    <w:qFormat/>
  </w:style>
  <w:style w:type="numbering" w:styleId="Style21" w:default="1">
    <w:name w:val="Без списка"/>
    <w:uiPriority w:val="99"/>
    <w:semiHidden/>
    <w:unhideWhenUsed/>
    <w:qFormat/>
  </w:style>
  <w:style w:type="table" w:styleId="48">
    <w:name w:val="Table Grid"/>
    <w:basedOn w:val="3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FEBF6" w:themeFill="accent1" w:themeFillTint="32"/>
      </w:tcPr>
    </w:tblStylePr>
    <w:tblStylePr w:type="band1Vert">
      <w:rPr>
        <w:sz w:val="22"/>
      </w:rPr>
      <w:tblPr/>
      <w:tcPr>
        <w:shd w:val="clear" w:color="FFFFFF" w:fill="DFEBF6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67A4D8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A5A5A5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4D2EB" w:themeFill="accent1" w:themeFillTint="75"/>
      </w:tcPr>
    </w:tblStylePr>
    <w:tblStylePr w:type="band1Vert">
      <w:tblPr/>
      <w:tcPr>
        <w:shd w:val="clear" w:color="FFFFFF" w:fill="B4D2EB" w:themeFill="accent1" w:themeFillTint="75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5B9BD5" w:themeFill="accent1"/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6C3A1" w:themeFill="accent2" w:themeFillTint="75"/>
      </w:tcPr>
    </w:tblStylePr>
    <w:tblStylePr w:type="band1Vert">
      <w:tblPr/>
      <w:tcPr>
        <w:shd w:val="clear" w:color="FFFFFF" w:fill="F6C3A1" w:themeFill="accent2" w:themeFillTint="75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ED7D31" w:themeFill="accent2"/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6D6D6" w:themeFill="accent3" w:themeFillTint="75"/>
      </w:tcPr>
    </w:tblStylePr>
    <w:tblStylePr w:type="band1Vert">
      <w:tblPr/>
      <w:tcPr>
        <w:shd w:val="clear" w:color="FFFFFF" w:fill="D6D6D6" w:themeFill="accent3" w:themeFillTint="75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A5A5A5" w:themeFill="accent3"/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EE189" w:themeFill="accent4" w:themeFillTint="75"/>
      </w:tcPr>
    </w:tblStylePr>
    <w:tblStylePr w:type="band1Vert">
      <w:tblPr/>
      <w:tcPr>
        <w:shd w:val="clear" w:color="FFFFFF" w:fill="FEE189" w:themeFill="accent4" w:themeFillTint="75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FC000" w:themeFill="accent4"/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ABFE3" w:themeFill="accent5" w:themeFillTint="75"/>
      </w:tcPr>
    </w:tblStylePr>
    <w:tblStylePr w:type="band1Vert">
      <w:tblPr/>
      <w:tcPr>
        <w:shd w:val="clear" w:color="FFFFFF" w:fill="AABFE3" w:themeFill="accent5" w:themeFillTint="7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472C4" w:themeFill="accent5"/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EDBA8" w:themeFill="accent6" w:themeFillTint="75"/>
      </w:tcPr>
    </w:tblStylePr>
    <w:tblStylePr w:type="band1Vert">
      <w:tblPr/>
      <w:tcPr>
        <w:shd w:val="clear" w:color="FFFFFF" w:fill="BEDBA8" w:themeFill="accent6" w:themeFillTint="75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70AD47" w:themeFill="accent6"/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00000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000000" w:themeColor="text1" w:themeTint="80" w:themeShade="95"/>
        <w:sz w:val="22"/>
      </w:rPr>
      <w:tblPr/>
    </w:tblStylePr>
    <w:tblStylePr w:type="firstCol">
      <w:rPr>
        <w:b/>
        <w:color w:val="000000" w:themeColor="text1" w:themeTint="80" w:themeShade="95"/>
      </w:rPr>
      <w:tblPr/>
    </w:tblStylePr>
    <w:tblStylePr w:type="firstRow">
      <w:rPr>
        <w:b/>
        <w:color w:val="000000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000000" w:themeColor="text1" w:themeTint="80" w:themeShade="95"/>
      </w:rPr>
      <w:tblPr/>
    </w:tblStylePr>
    <w:tblStylePr w:type="lastRow">
      <w:rPr>
        <w:b/>
        <w:color w:val="000000" w:themeColor="text1" w:themeTint="80" w:themeShade="95"/>
      </w:rPr>
      <w:tblPr/>
    </w:tblStylePr>
    <w:tblStylePr w:type="wholeTable">
      <w:rPr>
        <w:color w:val="000000" w:themeColor="text1" w:themeTint="80" w:themeShade="95"/>
        <w:sz w:val="22"/>
      </w:rPr>
      <w:tblPr/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000000"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val="000000" w:themeColor="accent1" w:themeTint="80" w:themeShade="95"/>
        <w:sz w:val="22"/>
      </w:rPr>
      <w:tblPr/>
    </w:tblStylePr>
    <w:tblStylePr w:type="firstCol">
      <w:rPr>
        <w:b/>
        <w:color w:val="000000" w:themeColor="accent1" w:themeTint="80" w:themeShade="95"/>
      </w:rPr>
      <w:tblPr/>
    </w:tblStylePr>
    <w:tblStylePr w:type="firstRow">
      <w:rPr>
        <w:b/>
        <w:color w:val="000000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000000" w:themeColor="accent1" w:themeTint="80" w:themeShade="95"/>
      </w:rPr>
      <w:tblPr/>
    </w:tblStylePr>
    <w:tblStylePr w:type="lastRow">
      <w:rPr>
        <w:b/>
        <w:color w:val="000000" w:themeColor="accent1" w:themeTint="80" w:themeShade="95"/>
      </w:rPr>
      <w:tblPr/>
    </w:tblStylePr>
    <w:tblStylePr w:type="wholeTable">
      <w:rPr>
        <w:color w:val="000000" w:themeColor="accent1" w:themeTint="80" w:themeShade="95"/>
        <w:sz w:val="22"/>
      </w:rPr>
      <w:tblPr/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rPr>
        <w:b/>
        <w:color w:val="000000" w:themeColor="accent2" w:themeTint="97" w:themeShade="95"/>
      </w:rPr>
      <w:tblPr/>
    </w:tblStylePr>
    <w:tblStylePr w:type="firstRow">
      <w:rPr>
        <w:b/>
        <w:color w:val="000000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000000" w:themeColor="accent2" w:themeTint="97" w:themeShade="95"/>
      </w:rPr>
      <w:tblPr/>
    </w:tblStylePr>
    <w:tblStylePr w:type="lastRow">
      <w:rPr>
        <w:b/>
        <w:color w:val="000000" w:themeColor="accent2" w:themeTint="97" w:themeShade="95"/>
      </w:rPr>
      <w:tblPr/>
    </w:tblStylePr>
    <w:tblStylePr w:type="wholeTable">
      <w:rPr>
        <w:color w:val="000000" w:themeColor="accent2" w:themeTint="97" w:themeShade="95"/>
        <w:sz w:val="22"/>
      </w:rPr>
      <w:tblPr/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00000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000000" w:themeColor="accent3" w:themeTint="fe" w:themeShade="95"/>
        <w:sz w:val="22"/>
      </w:rPr>
      <w:tblPr/>
    </w:tblStylePr>
    <w:tblStylePr w:type="firstCol">
      <w:rPr>
        <w:b/>
        <w:color w:val="000000" w:themeColor="accent3" w:themeTint="fe" w:themeShade="95"/>
      </w:rPr>
      <w:tblPr/>
    </w:tblStylePr>
    <w:tblStylePr w:type="firstRow">
      <w:rPr>
        <w:b/>
        <w:color w:val="000000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000000" w:themeColor="accent3" w:themeTint="fe" w:themeShade="95"/>
      </w:rPr>
      <w:tblPr/>
    </w:tblStylePr>
    <w:tblStylePr w:type="lastRow">
      <w:rPr>
        <w:b/>
        <w:color w:val="000000" w:themeColor="accent3" w:themeTint="fe" w:themeShade="95"/>
      </w:rPr>
      <w:tblPr/>
    </w:tblStylePr>
    <w:tblStylePr w:type="wholeTable">
      <w:rPr>
        <w:color w:val="000000" w:themeColor="accent3" w:themeTint="fe" w:themeShade="95"/>
        <w:sz w:val="22"/>
      </w:rPr>
      <w:tblPr/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rPr>
        <w:b/>
        <w:color w:val="000000" w:themeColor="accent4" w:themeTint="9a" w:themeShade="95"/>
      </w:rPr>
      <w:tblPr/>
    </w:tblStylePr>
    <w:tblStylePr w:type="firstRow">
      <w:rPr>
        <w:b/>
        <w:color w:val="000000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000000" w:themeColor="accent4" w:themeTint="9a" w:themeShade="95"/>
      </w:rPr>
      <w:tblPr/>
    </w:tblStylePr>
    <w:tblStylePr w:type="lastRow">
      <w:rPr>
        <w:b/>
        <w:color w:val="000000" w:themeColor="accent4" w:themeTint="9a" w:themeShade="95"/>
      </w:rPr>
      <w:tblPr/>
    </w:tblStylePr>
    <w:tblStylePr w:type="wholeTable">
      <w:rPr>
        <w:color w:val="000000" w:themeColor="accent4" w:themeTint="9a" w:themeShade="95"/>
        <w:sz w:val="22"/>
      </w:rPr>
      <w:tblPr/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000000"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val="000000" w:themeColor="accent5" w:themeShade="95"/>
        <w:sz w:val="22"/>
      </w:rPr>
      <w:tblPr/>
    </w:tblStylePr>
    <w:tblStylePr w:type="firstCol">
      <w:rPr>
        <w:b/>
        <w:color w:val="000000" w:themeColor="accent5" w:themeShade="95"/>
      </w:rPr>
      <w:tblPr/>
    </w:tblStylePr>
    <w:tblStylePr w:type="firstRow">
      <w:rPr>
        <w:b/>
        <w:color w:val="000000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000000" w:themeColor="accent5" w:themeShade="95"/>
      </w:rPr>
      <w:tblPr/>
    </w:tblStylePr>
    <w:tblStylePr w:type="lastRow">
      <w:rPr>
        <w:b/>
        <w:color w:val="000000" w:themeColor="accent5" w:themeShade="95"/>
      </w:rPr>
      <w:tblPr/>
    </w:tblStylePr>
    <w:tblStylePr w:type="wholeTable">
      <w:rPr>
        <w:color w:val="000000" w:themeColor="accent5" w:themeShade="95"/>
        <w:sz w:val="22"/>
      </w:rPr>
      <w:tblPr/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000000" w:themeColor="accent5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000000" w:themeColor="accent5" w:themeShade="95"/>
        <w:sz w:val="22"/>
      </w:rPr>
      <w:tblPr/>
    </w:tblStylePr>
    <w:tblStylePr w:type="firstCol">
      <w:rPr>
        <w:b/>
        <w:color w:val="000000" w:themeColor="accent5" w:themeShade="95"/>
      </w:rPr>
      <w:tblPr/>
    </w:tblStylePr>
    <w:tblStylePr w:type="firstRow">
      <w:rPr>
        <w:b/>
        <w:color w:val="000000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000000" w:themeColor="accent5" w:themeShade="95"/>
      </w:rPr>
      <w:tblPr/>
    </w:tblStylePr>
    <w:tblStylePr w:type="lastRow">
      <w:rPr>
        <w:b/>
        <w:color w:val="000000" w:themeColor="accent5" w:themeShade="95"/>
      </w:rPr>
      <w:tblPr/>
    </w:tblStylePr>
    <w:tblStylePr w:type="wholeTable">
      <w:rPr>
        <w:color w:val="000000" w:themeColor="accent5" w:themeShade="95"/>
        <w:sz w:val="22"/>
      </w:rPr>
      <w:tblPr/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000000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val="000000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000000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val="000000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000000"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val="000000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000000"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val="000000"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000000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val="000000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00000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000000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000000"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val="000000"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000000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val="000000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000000"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val="000000" w:themeColor="accent5" w:themeShade="95"/>
        <w:sz w:val="22"/>
      </w:rPr>
      <w:tblPr/>
    </w:tblStylePr>
    <w:tblStylePr w:type="firstCol">
      <w:pPr>
        <w:jc w:val="right"/>
      </w:pPr>
      <w:rPr>
        <w:i/>
        <w:color w:val="000000"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val="000000"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000000" w:themeColor="accent6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000000" w:themeColor="accent6" w:themeShade="95"/>
        <w:sz w:val="22"/>
      </w:rPr>
      <w:tblPr/>
    </w:tblStylePr>
    <w:tblStylePr w:type="firstCol">
      <w:pPr>
        <w:jc w:val="right"/>
      </w:pPr>
      <w:rPr>
        <w:i/>
        <w:color w:val="000000"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val="000000"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val="000000"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EABDB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AD08F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5B9BD5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4B185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F4B185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9C9C9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FD864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FFD864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8EABDB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8EABDB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AAD08F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000000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000000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AAD08F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000000" w:themeColor="light1"/>
        <w:sz w:val="22"/>
      </w:rPr>
      <w:tblPr/>
    </w:tblStylePr>
    <w:tblStylePr w:type="wholeTable">
      <w:rPr>
        <w:color w:val="000000" w:themeColor="light1"/>
        <w:sz w:val="22"/>
      </w:rPr>
      <w:tblPr/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000000"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val="000000" w:themeColor="accent1" w:themeShade="95"/>
        <w:sz w:val="22"/>
      </w:rPr>
      <w:tblPr/>
    </w:tblStylePr>
    <w:tblStylePr w:type="firstCol">
      <w:rPr>
        <w:b/>
        <w:color w:val="000000" w:themeColor="accent1" w:themeShade="95"/>
      </w:rPr>
      <w:tblPr/>
    </w:tblStylePr>
    <w:tblStylePr w:type="firstRow">
      <w:rPr>
        <w:b/>
        <w:color w:val="000000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00000" w:themeColor="accent1" w:themeShade="95"/>
      </w:rPr>
      <w:tblPr/>
    </w:tblStylePr>
    <w:tblStylePr w:type="lastRow">
      <w:rPr>
        <w:b/>
        <w:color w:val="000000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rPr>
        <w:b/>
        <w:color w:val="000000" w:themeColor="accent2" w:themeTint="97" w:themeShade="95"/>
      </w:rPr>
      <w:tblPr/>
    </w:tblStylePr>
    <w:tblStylePr w:type="firstRow">
      <w:rPr>
        <w:b/>
        <w:color w:val="000000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000000" w:themeColor="accent2" w:themeTint="97" w:themeShade="95"/>
      </w:rPr>
      <w:tblPr/>
    </w:tblStylePr>
    <w:tblStylePr w:type="lastRow">
      <w:rPr>
        <w:b/>
        <w:color w:val="000000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000000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000000" w:themeColor="accent3" w:themeTint="98" w:themeShade="95"/>
        <w:sz w:val="22"/>
      </w:rPr>
      <w:tblPr/>
    </w:tblStylePr>
    <w:tblStylePr w:type="firstCol">
      <w:rPr>
        <w:b/>
        <w:color w:val="000000" w:themeColor="accent3" w:themeTint="98" w:themeShade="95"/>
      </w:rPr>
      <w:tblPr/>
    </w:tblStylePr>
    <w:tblStylePr w:type="firstRow">
      <w:rPr>
        <w:b/>
        <w:color w:val="000000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000000" w:themeColor="accent3" w:themeTint="98" w:themeShade="95"/>
      </w:rPr>
      <w:tblPr/>
    </w:tblStylePr>
    <w:tblStylePr w:type="lastRow">
      <w:rPr>
        <w:b/>
        <w:color w:val="000000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rPr>
        <w:b/>
        <w:color w:val="000000" w:themeColor="accent4" w:themeTint="9a" w:themeShade="95"/>
      </w:rPr>
      <w:tblPr/>
    </w:tblStylePr>
    <w:tblStylePr w:type="firstRow">
      <w:rPr>
        <w:b/>
        <w:color w:val="000000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000000" w:themeColor="accent4" w:themeTint="9a" w:themeShade="95"/>
      </w:rPr>
      <w:tblPr/>
    </w:tblStylePr>
    <w:tblStylePr w:type="lastRow">
      <w:rPr>
        <w:b/>
        <w:color w:val="000000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000000"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val="000000" w:themeColor="accent5" w:themeTint="9a" w:themeShade="95"/>
        <w:sz w:val="22"/>
      </w:rPr>
      <w:tblPr/>
    </w:tblStylePr>
    <w:tblStylePr w:type="firstCol">
      <w:rPr>
        <w:b/>
        <w:color w:val="000000" w:themeColor="accent5" w:themeTint="9a" w:themeShade="95"/>
      </w:rPr>
      <w:tblPr/>
    </w:tblStylePr>
    <w:tblStylePr w:type="firstRow">
      <w:rPr>
        <w:b/>
        <w:color w:val="000000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000000" w:themeColor="accent5" w:themeTint="9a" w:themeShade="95"/>
      </w:rPr>
      <w:tblPr/>
    </w:tblStylePr>
    <w:tblStylePr w:type="lastRow">
      <w:rPr>
        <w:b/>
        <w:color w:val="000000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000000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000000" w:themeColor="accent6" w:themeTint="98" w:themeShade="95"/>
        <w:sz w:val="22"/>
      </w:rPr>
      <w:tblPr/>
    </w:tblStylePr>
    <w:tblStylePr w:type="firstCol">
      <w:rPr>
        <w:b/>
        <w:color w:val="000000" w:themeColor="accent6" w:themeTint="98" w:themeShade="95"/>
      </w:rPr>
      <w:tblPr/>
    </w:tblStylePr>
    <w:tblStylePr w:type="firstRow">
      <w:rPr>
        <w:b/>
        <w:color w:val="000000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000000" w:themeColor="accent6" w:themeTint="98" w:themeShade="95"/>
      </w:rPr>
      <w:tblPr/>
    </w:tblStylePr>
    <w:tblStylePr w:type="lastRow">
      <w:rPr>
        <w:b/>
        <w:color w:val="000000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000000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000000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000000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val="000000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text1" w:themeTint="80" w:themeShade="95"/>
        <w:sz w:val="22"/>
      </w:rPr>
      <w:tblPr/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000000"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val="000000" w:themeColor="accent1" w:themeShade="95"/>
        <w:sz w:val="22"/>
      </w:rPr>
      <w:tblPr/>
    </w:tblStylePr>
    <w:tblStylePr w:type="firstCol">
      <w:pPr>
        <w:jc w:val="right"/>
      </w:pPr>
      <w:rPr>
        <w:i/>
        <w:color w:val="000000"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val="000000"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1" w:themeShade="95"/>
        <w:sz w:val="22"/>
      </w:rPr>
      <w:tblPr/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000000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000000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000000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val="000000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2" w:themeTint="97" w:themeShade="95"/>
        <w:sz w:val="22"/>
      </w:rPr>
      <w:tblPr/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000000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000000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000000"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val="000000"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3" w:themeTint="98" w:themeShade="95"/>
        <w:sz w:val="22"/>
      </w:rPr>
      <w:tblPr/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00000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0000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000000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val="000000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4" w:themeTint="9a" w:themeShade="95"/>
        <w:sz w:val="22"/>
      </w:rPr>
      <w:tblPr/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000000"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val="000000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000000"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val="000000"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5" w:themeTint="9a" w:themeShade="95"/>
        <w:sz w:val="22"/>
      </w:rPr>
      <w:tblPr/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000000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000000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000000"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val="000000"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000000"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val="000000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000000" w:themeColor="accent6" w:themeTint="98" w:themeShade="95"/>
        <w:sz w:val="22"/>
      </w:rPr>
      <w:tblPr/>
    </w:tblStylePr>
  </w:style>
  <w:style w:type="table" w:styleId="153">
    <w:name w:val="Lined - Accent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872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LibreOffice/25.8.4.2$Linux_X86_64 LibreOffice_project/580$Build-2</Application>
  <AppVersion>15.0000</AppVersion>
  <Pages>2</Pages>
  <Words>305</Words>
  <Characters>2216</Characters>
  <CharactersWithSpaces>2553</CharactersWithSpaces>
  <Paragraphs>13</Paragraphs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2024-06-19T02:12:00Z</dcterms:created>
  <dc:creator>Miheeva_IS</dc:creator>
  <dc:description/>
  <dc:language>ru-RU</dc:language>
  <cp:lastModifiedBy/>
  <cp:lastPrinted>2026-09-24T14:36:25Z</cp:lastPrinted>
  <dcterms:modified xsi:type="dcterms:W3CDTF">2026-09-24T14:41:05Z</dcterms:modified>
  <cp:revision>95</cp:revision>
  <dc:subject/>
  <dc:title>Федеральный закон от 27.11.2018 N 422-ФЗ(ред. от 28.12.2022)"О проведении эксперимента по установлению специального налогового режима "Налог на профессиональный доход"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