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hd w:val="clear" w:fill="FFFFFF"/>
        <w:ind w:hanging="0" w:right="22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>
      <w:pPr>
        <w:pStyle w:val="Normal"/>
        <w:shd w:val="clear" w:fill="FFFFFF"/>
        <w:ind w:hanging="0" w:right="22"/>
        <w:jc w:val="center"/>
        <w:rPr>
          <w:b/>
          <w:bCs/>
          <w:color w:val="000000"/>
          <w:spacing w:val="2"/>
          <w:sz w:val="18"/>
          <w:szCs w:val="18"/>
        </w:rPr>
      </w:pPr>
      <w:r>
        <w:rPr>
          <w:b/>
          <w:bCs/>
          <w:color w:val="000000"/>
          <w:spacing w:val="2"/>
          <w:sz w:val="18"/>
          <w:szCs w:val="1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 xml:space="preserve"> </w:t>
      </w:r>
      <w:r>
        <w:rPr>
          <w:bCs/>
          <w:color w:val="000000"/>
          <w:spacing w:val="2"/>
          <w:sz w:val="28"/>
          <w:szCs w:val="28"/>
        </w:rPr>
        <w:t xml:space="preserve">к проекту </w:t>
      </w:r>
      <w:r>
        <w:rPr>
          <w:bCs/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>О внесении изменений в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 Закон Приморского края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 отдельным категориям граждан,</w:t>
      </w:r>
    </w:p>
    <w:p>
      <w:pPr>
        <w:pStyle w:val="Normal"/>
        <w:jc w:val="center"/>
        <w:rPr>
          <w:sz w:val="28"/>
          <w:szCs w:val="28"/>
        </w:rPr>
      </w:pPr>
      <w:r>
        <w:rPr>
          <w:rFonts w:cs="Times New Roman"/>
          <w:sz w:val="28"/>
          <w:szCs w:val="28"/>
          <w:shd w:fill="auto" w:val="clear"/>
        </w:rPr>
        <w:t xml:space="preserve"> </w:t>
      </w:r>
      <w:r>
        <w:rPr>
          <w:rFonts w:cs="Times New Roman"/>
          <w:sz w:val="28"/>
          <w:szCs w:val="28"/>
          <w:shd w:fill="auto" w:val="clear"/>
        </w:rPr>
        <w:t>проживающим на территории Приморского края</w:t>
      </w:r>
      <w:r>
        <w:rPr>
          <w:rFonts w:cs="Times New Roman"/>
          <w:bCs/>
          <w:sz w:val="28"/>
          <w:szCs w:val="28"/>
          <w:shd w:fill="auto" w:val="clear"/>
        </w:rPr>
        <w:t xml:space="preserve">" </w:t>
      </w:r>
    </w:p>
    <w:p>
      <w:pPr>
        <w:pStyle w:val="Normal"/>
        <w:jc w:val="center"/>
        <w:rPr>
          <w:rFonts w:eastAsia="Calibri" w:cs="PT Astra Serif;Times New Roman"/>
          <w:color w:val="000000"/>
          <w:spacing w:val="2"/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</w:r>
    </w:p>
    <w:p>
      <w:pPr>
        <w:pStyle w:val="Normal"/>
        <w:widowControl w:val="false"/>
        <w:suppressAutoHyphens w:val="true"/>
        <w:overflowPunct w:val="false"/>
        <w:bidi w:val="0"/>
        <w:spacing w:lineRule="auto" w:line="360" w:before="0" w:after="0"/>
        <w:ind w:firstLine="567" w:left="0" w:right="0"/>
        <w:contextualSpacing/>
        <w:jc w:val="both"/>
        <w:rPr/>
      </w:pPr>
      <w:r>
        <w:rPr>
          <w:bCs/>
          <w:color w:val="000000"/>
          <w:spacing w:val="2"/>
          <w:sz w:val="28"/>
          <w:szCs w:val="28"/>
        </w:rPr>
        <w:t xml:space="preserve">Проектом </w:t>
      </w:r>
      <w:r>
        <w:rPr>
          <w:bCs/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>О внесении изменений в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 Закон Приморского края от 24 декабря 2025 года  № 938-КЗ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 предоставлении мер социальной поддержки в области обеспечения транспортной доступности  отдельным категориям граждан,</w:t>
      </w:r>
      <w:r>
        <w:rPr>
          <w:rFonts w:cs="Times New Roman"/>
          <w:sz w:val="28"/>
          <w:szCs w:val="28"/>
          <w:shd w:fill="auto" w:val="clear"/>
        </w:rPr>
        <w:t xml:space="preserve"> проживающим на территории Приморского края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 xml:space="preserve">" </w:t>
      </w:r>
      <w:r>
        <w:rPr>
          <w:rFonts w:cs="Times New Roman"/>
          <w:sz w:val="28"/>
          <w:szCs w:val="28"/>
          <w:shd w:fill="auto" w:val="clear"/>
        </w:rPr>
        <w:t xml:space="preserve">(далее - законопроект) предлагается дополнить категории граждан, имеющих право на получение компенсационных выплат на проезд в общественном транспорте в пределах территории Приморского края </w:t>
      </w:r>
      <w:r>
        <w:rPr>
          <w:b w:val="false"/>
          <w:bCs w:val="false"/>
          <w:sz w:val="28"/>
          <w:szCs w:val="28"/>
          <w:shd w:fill="auto" w:val="clear"/>
        </w:rPr>
        <w:t xml:space="preserve"> 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>гражданами Республики Беларусь, постоянно проживающими (имеющими вид на жительство) на территории Приморского края из числа следующих категорий: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cs="Times New Roman"/>
          <w:b w:val="false"/>
          <w:sz w:val="28"/>
          <w:szCs w:val="28"/>
          <w:shd w:fill="auto" w:val="clear"/>
        </w:rPr>
        <w:t xml:space="preserve">инвалиды </w:t>
      </w:r>
      <w:r>
        <w:rPr>
          <w:rFonts w:cs="Times New Roman"/>
          <w:b w:val="false"/>
          <w:bCs/>
          <w:sz w:val="28"/>
          <w:szCs w:val="28"/>
          <w:shd w:fill="auto" w:val="clear"/>
        </w:rPr>
        <w:t>Великой Отечественной войны</w:t>
      </w:r>
      <w:r>
        <w:rPr>
          <w:rFonts w:cs="Times New Roman"/>
          <w:b w:val="false"/>
          <w:sz w:val="28"/>
          <w:szCs w:val="28"/>
          <w:shd w:fill="auto" w:val="clear"/>
        </w:rPr>
        <w:t xml:space="preserve">; 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cs="Times New Roman"/>
          <w:b w:val="false"/>
          <w:sz w:val="28"/>
          <w:szCs w:val="28"/>
          <w:shd w:fill="auto" w:val="clear"/>
        </w:rPr>
        <w:t xml:space="preserve">участники Великой Отечественной войны; </w:t>
      </w:r>
      <w:r>
        <w:rPr>
          <w:rFonts w:cs="Times New Roman"/>
          <w:sz w:val="28"/>
          <w:szCs w:val="28"/>
          <w:shd w:fill="auto" w:val="clear"/>
        </w:rPr>
        <w:t xml:space="preserve"> 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>члены семей погибших (умерших) инвалидов Великой Отечественной и участников Великой Отечественной войны.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>Законопроектом предлагается установить компенсационную выплату для указанной категории граждан в размере 50 % от стоимости проезда в общественном транспорте.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>Законопроектом предлагается предоставлять компенсационные выплаты  гражданам Республики Беларусь, совершившим поездки по 31 декабря 2029 года включительно.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>Законоп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>роект разработан в связи с предложением заместителя Государственного секретаря — члена Постоянного Комитета Союзного государства Казакова Алексея Валерьевича о предоставлении компенсационной выплаты на проезд отдельным категориям граждан, учитывая значимость сотрудничества между Приморским краем и Республикой Беларусь.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>Так как гражданам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 xml:space="preserve">, направляющимся на лечение по профилю «онкология»,  не всегда выдаются медицинские документы с указанием кодов  МКБ-10      С00-С97, законопроектом исключаются требования к гражданам, страдающим от онкологических заболеваний, по предоставлению ими медицинских документов с указанием кода МКБ-10 С00-С97. </w:t>
      </w:r>
    </w:p>
    <w:p>
      <w:pPr>
        <w:pStyle w:val="BodyText"/>
        <w:widowControl w:val="false"/>
        <w:spacing w:lineRule="auto" w:line="360" w:before="0" w:after="0"/>
        <w:ind w:firstLine="540" w:left="0" w:right="0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>Кроме того, законопроектом уточняется, что компенсации подлежат  билеты на проезд в  транспорте общего пользования по маршрутам регулярных перевозок.</w:t>
      </w:r>
    </w:p>
    <w:p>
      <w:pPr>
        <w:pStyle w:val="BodyText"/>
        <w:suppressAutoHyphens w:val="true"/>
        <w:spacing w:lineRule="auto" w:line="360"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>Меры социальной поддержки в области обеспечения транспортной доступности предоставляются в пределах объемов бюджетных ассигнований и лимитов бюджетных обязательств, предусмотренных в краевом бюджете на указанные цели в текущем финансовом году.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b w:val="false"/>
          <w:bCs/>
          <w:color w:val="000000"/>
          <w:shd w:fill="auto" w:val="clear"/>
          <w:lang w:val="ru-RU" w:eastAsia="ru-RU" w:bidi="ar-SA"/>
        </w:rPr>
      </w:pPr>
      <w:r>
        <w:rPr>
          <w:rFonts w:eastAsia="Times New Roman" w:cs="Times New Roman"/>
          <w:b w:val="false"/>
          <w:bCs/>
          <w:color w:val="000000"/>
          <w:shd w:fill="auto" w:val="clear"/>
          <w:lang w:val="ru-RU" w:eastAsia="ru-RU" w:bidi="ar-SA"/>
        </w:rPr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b w:val="false"/>
          <w:bCs/>
          <w:color w:val="000000"/>
          <w:shd w:fill="auto" w:val="clear"/>
          <w:lang w:val="ru-RU" w:eastAsia="ru-RU" w:bidi="ar-SA"/>
        </w:rPr>
      </w:pPr>
      <w:r>
        <w:rPr>
          <w:rFonts w:eastAsia="Times New Roman" w:cs="Times New Roman"/>
          <w:b w:val="false"/>
          <w:bCs/>
          <w:color w:val="000000"/>
          <w:shd w:fill="auto" w:val="clear"/>
          <w:lang w:val="ru-RU" w:eastAsia="ru-RU" w:bidi="ar-SA"/>
        </w:rPr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b w:val="false"/>
          <w:bCs/>
          <w:color w:val="000000"/>
          <w:shd w:fill="auto" w:val="clear"/>
          <w:lang w:val="ru-RU" w:eastAsia="ru-RU" w:bidi="ar-SA"/>
        </w:rPr>
      </w:pPr>
      <w:r>
        <w:rPr>
          <w:rFonts w:eastAsia="Times New Roman" w:cs="Times New Roman"/>
          <w:b w:val="false"/>
          <w:bCs/>
          <w:color w:val="000000"/>
          <w:shd w:fill="auto" w:val="clear"/>
          <w:lang w:val="ru-RU" w:eastAsia="ru-RU" w:bidi="ar-SA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2"/>
        <w:gridCol w:w="4641"/>
      </w:tblGrid>
      <w:tr>
        <w:trPr/>
        <w:tc>
          <w:tcPr>
            <w:tcW w:w="521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614" w:leader="none"/>
              </w:tabs>
              <w:suppressAutoHyphens w:val="true"/>
              <w:spacing w:before="0" w:after="0"/>
              <w:ind w:hanging="227" w:left="-113" w:right="0"/>
              <w:jc w:val="center"/>
              <w:rPr>
                <w:rFonts w:ascii="Times New Roman" w:hAnsi="Times New Roman"/>
                <w:kern w:val="0"/>
                <w:sz w:val="20"/>
                <w:lang w:val="ru-RU" w:eastAsia="zh-CN"/>
              </w:rPr>
            </w:pPr>
            <w:r>
              <w:rPr>
                <w:kern w:val="0"/>
                <w:sz w:val="28"/>
                <w:szCs w:val="28"/>
                <w:lang w:val="ru-RU" w:eastAsia="zh-CN"/>
              </w:rPr>
              <w:t>Министр  труда и социальной политики  Приморского края</w:t>
            </w:r>
          </w:p>
        </w:tc>
        <w:tc>
          <w:tcPr>
            <w:tcW w:w="4641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both"/>
              <w:rPr>
                <w:rFonts w:eastAsia="Tahoma" w:cs="Noto Sans Devanagari;Times New"/>
                <w:sz w:val="28"/>
                <w:szCs w:val="28"/>
              </w:rPr>
            </w:pPr>
            <w:r>
              <w:rPr>
                <w:rFonts w:eastAsia="Tahoma" w:cs="Noto Sans Devanagari;Times New"/>
                <w:sz w:val="28"/>
                <w:szCs w:val="28"/>
              </w:rPr>
            </w:r>
          </w:p>
          <w:p>
            <w:pPr>
              <w:pStyle w:val="Header"/>
              <w:widowControl w:val="false"/>
              <w:shd w:val="clear" w:fill="FFFFFF"/>
              <w:suppressAutoHyphens w:val="true"/>
              <w:spacing w:before="0" w:after="0"/>
              <w:jc w:val="both"/>
              <w:rPr>
                <w:rFonts w:ascii="Times New Roman" w:hAnsi="Times New Roman"/>
                <w:kern w:val="0"/>
                <w:sz w:val="20"/>
                <w:lang w:val="ru-RU" w:eastAsia="zh-CN"/>
              </w:rPr>
            </w:pPr>
            <w:r>
              <w:rPr>
                <w:color w:val="000000"/>
                <w:kern w:val="0"/>
                <w:sz w:val="28"/>
                <w:szCs w:val="28"/>
                <w:lang w:val="ru-RU" w:eastAsia="zh-CN"/>
              </w:rPr>
              <w:t xml:space="preserve">                                    </w:t>
            </w:r>
            <w:r>
              <w:rPr>
                <w:color w:val="000000"/>
                <w:kern w:val="0"/>
                <w:sz w:val="28"/>
                <w:szCs w:val="28"/>
                <w:lang w:val="ru-RU" w:eastAsia="zh-CN"/>
              </w:rPr>
              <w:t>С.В. Красицкая</w:t>
            </w:r>
          </w:p>
        </w:tc>
      </w:tr>
    </w:tbl>
    <w:p>
      <w:pPr>
        <w:pStyle w:val="Normal"/>
        <w:shd w:val="clear" w:fill="FFFFFF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continuous"/>
      <w:pgSz w:w="11906" w:h="16838"/>
      <w:pgMar w:left="1418" w:right="851" w:gutter="0" w:header="0" w:top="567" w:footer="0" w:bottom="897"/>
      <w:formProt w:val="false"/>
      <w:titlePg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2</w:t>
    </w:r>
    <w:r>
      <w:rPr>
        <w:sz w:val="24"/>
        <w:szCs w:val="24"/>
      </w:rPr>
      <w:fldChar w:fldCharType="end"/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ocumentProtection w:edit="forms" w:enforcement="1" w:cryptProviderType="rsaAES" w:cryptAlgorithmClass="hash" w:cryptAlgorithmType="typeAny" w:cryptSpinCount="0" w:hash="" w:salt="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DefaultParagraphFont">
    <w:name w:val="Default Paragraph Font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color w:val="000000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character" w:styleId="11">
    <w:name w:val="Гиперссылка1"/>
    <w:qFormat/>
    <w:rPr>
      <w:color w:val="0000FF"/>
      <w:u w:val="single"/>
    </w:rPr>
  </w:style>
  <w:style w:type="character" w:styleId="ConsPlusNormal">
    <w:name w:val="ConsPlusNormal Знак"/>
    <w:qFormat/>
    <w:rPr>
      <w:rFonts w:ascii="Arial" w:hAnsi="Arial" w:cs="Arial"/>
    </w:rPr>
  </w:style>
  <w:style w:type="character" w:styleId="FontStyle12">
    <w:name w:val="Font Style12"/>
    <w:qFormat/>
    <w:rPr>
      <w:rFonts w:ascii="Times New Roman" w:hAnsi="Times New Roman" w:cs="Times New Roman"/>
      <w:sz w:val="26"/>
      <w:szCs w:val="26"/>
    </w:rPr>
  </w:style>
  <w:style w:type="character" w:styleId="Style14">
    <w:name w:val="Нижний колонтитул Знак"/>
    <w:basedOn w:val="1"/>
    <w:qFormat/>
    <w:rPr/>
  </w:style>
  <w:style w:type="character" w:styleId="Style15">
    <w:name w:val="Верхний колонтитул Знак"/>
    <w:qFormat/>
    <w:rPr/>
  </w:style>
  <w:style w:type="character" w:styleId="Style16">
    <w:name w:val="Текст выноски Знак"/>
    <w:qFormat/>
    <w:rPr>
      <w:rFonts w:ascii="Segoe UI" w:hAnsi="Segoe UI" w:eastAsia="Segoe UI" w:cs="Segoe UI"/>
      <w:sz w:val="18"/>
      <w:szCs w:val="18"/>
    </w:rPr>
  </w:style>
  <w:style w:type="character" w:styleId="Style17">
    <w:name w:val="Основной текст Знак"/>
    <w:qFormat/>
    <w:rPr>
      <w:rFonts w:eastAsia="Times New Roman"/>
      <w:b/>
      <w:szCs w:val="20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sz w:val="26"/>
    </w:rPr>
  </w:style>
  <w:style w:type="paragraph" w:styleId="List">
    <w:name w:val="List"/>
    <w:basedOn w:val="BodyText"/>
    <w:pPr/>
    <w:rPr>
      <w:rFonts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3">
    <w:name w:val="Указатель3"/>
    <w:basedOn w:val="Normal"/>
    <w:qFormat/>
    <w:pPr>
      <w:suppressLineNumbers/>
    </w:pPr>
    <w:rPr>
      <w:rFonts w:cs="Noto Sans Devanagari;Times New"/>
    </w:rPr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21">
    <w:name w:val="Указатель2"/>
    <w:basedOn w:val="Normal"/>
    <w:qFormat/>
    <w:pPr>
      <w:suppressLineNumbers/>
    </w:pPr>
    <w:rPr>
      <w:rFonts w:cs="Noto Sans Devanagari;Times New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Noto Sans Devanagari;Times New"/>
    </w:rPr>
  </w:style>
  <w:style w:type="paragraph" w:styleId="Style2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2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Содержимое врезки"/>
    <w:basedOn w:val="Normal"/>
    <w:qFormat/>
    <w:pPr/>
    <w:rPr/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Style26">
    <w:name w:val="Заголовок таблицы"/>
    <w:basedOn w:val="Style25"/>
    <w:qFormat/>
    <w:pPr>
      <w:jc w:val="center"/>
    </w:pPr>
    <w:rPr>
      <w:b/>
      <w:bCs/>
    </w:rPr>
  </w:style>
  <w:style w:type="paragraph" w:styleId="Style27">
    <w:name w:val="Верхний колонтитул слева"/>
    <w:basedOn w:val="Normal"/>
    <w:qFormat/>
    <w:pPr>
      <w:suppressLineNumbers/>
      <w:tabs>
        <w:tab w:val="clear" w:pos="720"/>
        <w:tab w:val="center" w:pos="4818" w:leader="none"/>
        <w:tab w:val="right" w:pos="9637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numbering" w:styleId="user3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Application>LibreOffice/25.8.4.2$Linux_X86_64 LibreOffice_project/580$Build-2</Application>
  <AppVersion>15.0000</AppVersion>
  <Pages>2</Pages>
  <Words>293</Words>
  <Characters>2185</Characters>
  <CharactersWithSpaces>2523</CharactersWithSpaces>
  <Paragraphs>16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2024-06-19T02:12:00Z</dcterms:created>
  <dc:creator>Miheeva_IS</dc:creator>
  <dc:description/>
  <dc:language>ru-RU</dc:language>
  <cp:lastModifiedBy/>
  <cp:lastPrinted>2026-09-23T15:37:39Z</cp:lastPrinted>
  <dcterms:modified xsi:type="dcterms:W3CDTF">2026-09-23T15:37:42Z</dcterms:modified>
  <cp:revision>98</cp:revision>
  <dc:subject/>
  <dc:title>Федеральный закон от 27.11.2018 N 422-ФЗ(ред. от 28.12.2022)"О проведении эксперимента по установлению специального налогового режима "Налог на профессиональный доход"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