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uppressAutoHyphens w:val="true"/>
        <w:ind w:left="6372"/>
        <w:jc w:val="both"/>
        <w:rPr/>
      </w:pPr>
      <w:r>
        <w:rPr>
          <w:rFonts w:cs="Times New Roman" w:ascii="Times New Roman" w:hAnsi="Times New Roman"/>
        </w:rPr>
        <w:t xml:space="preserve">Проект внесен Губернатором Приморского края </w:t>
      </w:r>
    </w:p>
    <w:p>
      <w:pPr>
        <w:pStyle w:val="NoSpacing"/>
        <w:suppressAutoHyphens w:val="true"/>
        <w:jc w:val="center"/>
        <w:rPr>
          <w:rFonts w:ascii="Times New Roman" w:hAnsi="Times New Roman" w:cs="Times New Roman"/>
          <w:sz w:val="28"/>
          <w:szCs w:val="28"/>
          <w:highlight w:val="none"/>
          <w:shd w:fill="BF819E" w:val="clear"/>
        </w:rPr>
      </w:pPr>
      <w:r>
        <w:rPr>
          <w:rFonts w:cs="Times New Roman" w:ascii="Times New Roman" w:hAnsi="Times New Roman"/>
          <w:sz w:val="28"/>
          <w:szCs w:val="28"/>
          <w:shd w:fill="BF819E" w:val="clear"/>
        </w:rPr>
      </w:r>
    </w:p>
    <w:p>
      <w:pPr>
        <w:pStyle w:val="NoSpacing"/>
        <w:suppressAutoHyphens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uppressAutoHyphens w:val="true"/>
        <w:jc w:val="center"/>
        <w:rPr/>
      </w:pPr>
      <w:r>
        <w:rPr>
          <w:rFonts w:cs="Times New Roman" w:ascii="Times New Roman" w:hAnsi="Times New Roman"/>
          <w:b/>
          <w:sz w:val="32"/>
          <w:szCs w:val="32"/>
        </w:rPr>
        <w:t>З А К О Н   П Р И М О Р С К О Г О  К Р А Я</w:t>
      </w:r>
    </w:p>
    <w:p>
      <w:pPr>
        <w:pStyle w:val="NoSpacing"/>
        <w:suppressAutoHyphens w:val="true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</w:r>
    </w:p>
    <w:p>
      <w:pPr>
        <w:pStyle w:val="NoSpacing"/>
        <w:suppressAutoHyphens w:val="true"/>
        <w:spacing w:lineRule="auto" w:line="240" w:before="0" w:after="0"/>
        <w:contextualSpacing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>О ВНЕСЕНИИ ИЗМЕНЕНИЙ В ЗАКОН</w:t>
      </w:r>
    </w:p>
    <w:p>
      <w:pPr>
        <w:pStyle w:val="NoSpacing"/>
        <w:suppressAutoHyphens w:val="true"/>
        <w:spacing w:lineRule="auto" w:line="240" w:before="0" w:after="0"/>
        <w:contextualSpacing/>
        <w:jc w:val="center"/>
        <w:rPr/>
      </w:pP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 xml:space="preserve">ПРИМОРСКОГО КРАЯ </w:t>
      </w:r>
      <w:r>
        <w:rPr>
          <w:rFonts w:cs="Times New Roman" w:ascii="Times New Roman" w:hAnsi="Times New Roman"/>
          <w:b/>
          <w:bCs/>
          <w:sz w:val="28"/>
          <w:szCs w:val="28"/>
          <w:shd w:fill="auto" w:val="clear"/>
        </w:rPr>
        <w:t>"</w:t>
      </w:r>
      <w:r>
        <w:rPr>
          <w:rFonts w:cs="Times New Roman" w:ascii="Times New Roman" w:hAnsi="Times New Roman"/>
          <w:b/>
          <w:sz w:val="28"/>
          <w:szCs w:val="28"/>
          <w:shd w:fill="auto" w:val="clear"/>
        </w:rPr>
        <w:t xml:space="preserve">О </w:t>
      </w:r>
      <w:r>
        <w:rPr>
          <w:rFonts w:cs="Times New Roman" w:ascii="Times New Roman" w:hAnsi="Times New Roman"/>
          <w:b/>
          <w:bCs/>
          <w:sz w:val="28"/>
          <w:szCs w:val="28"/>
          <w:shd w:fill="auto" w:val="clear"/>
        </w:rPr>
        <w:t xml:space="preserve">ПРЕДОСТАВЛЕНИИ </w:t>
      </w:r>
    </w:p>
    <w:p>
      <w:pPr>
        <w:pStyle w:val="NoSpacing"/>
        <w:suppressAutoHyphens w:val="true"/>
        <w:spacing w:lineRule="auto" w:line="240" w:before="0" w:after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  <w:shd w:fill="auto" w:val="clear"/>
        </w:rPr>
        <w:t>МЕР СОЦИАЛЬНОЙ ПОДДЕРЖКИ В ОБЛАСТИ</w:t>
      </w:r>
    </w:p>
    <w:p>
      <w:pPr>
        <w:pStyle w:val="BodyText"/>
        <w:suppressAutoHyphens w:val="true"/>
        <w:spacing w:lineRule="auto" w:line="240" w:before="0" w:after="0"/>
        <w:ind w:hanging="0" w:left="0" w:right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ОБЕСПЕЧЕНИЯ ТРАНСПОРТНОЙ ДОСТУПНОСТИ </w:t>
      </w:r>
    </w:p>
    <w:p>
      <w:pPr>
        <w:pStyle w:val="BodyText"/>
        <w:suppressAutoHyphens w:val="true"/>
        <w:spacing w:lineRule="auto" w:line="240" w:before="0" w:after="0"/>
        <w:ind w:hanging="0" w:left="0" w:right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ОТДЕЛЬНЫМ КАТЕГОРИЯМ ГРАЖДАН, </w:t>
      </w:r>
    </w:p>
    <w:p>
      <w:pPr>
        <w:pStyle w:val="BodyText"/>
        <w:suppressAutoHyphens w:val="true"/>
        <w:spacing w:lineRule="auto" w:line="240" w:before="0" w:after="0"/>
        <w:ind w:hanging="0" w:left="0" w:right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ПРОЖИВАЮЩИМ НА ТЕРРИТОРИИ </w:t>
      </w:r>
    </w:p>
    <w:p>
      <w:pPr>
        <w:pStyle w:val="BodyText"/>
        <w:suppressAutoHyphens w:val="true"/>
        <w:spacing w:lineRule="auto" w:line="240" w:before="0" w:after="0"/>
        <w:ind w:hanging="0" w:left="0" w:right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  <w:shd w:fill="auto" w:val="clear"/>
        </w:rPr>
        <w:t xml:space="preserve">ПРИМОРСКОГО КРАЯ" </w:t>
      </w:r>
    </w:p>
    <w:p>
      <w:pPr>
        <w:pStyle w:val="NoSpacing"/>
        <w:suppressAutoHyphens w:val="true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NoSpacing"/>
        <w:suppressAutoHyphens w:val="true"/>
        <w:spacing w:before="0" w:after="16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  <w:shd w:fill="auto" w:val="clear"/>
        </w:rPr>
        <w:t>СТАТЬЯ 1.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  <w:shd w:fill="auto" w:val="clear"/>
        </w:rPr>
        <w:t>Внести в Закон Приморского края от 24 декабря 2025 года № 938-КЗ</w:t>
        <w:br/>
      </w: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"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О предоставлении мер социальной поддержки в области обеспечения транспортной доступности  отдельным категориям граждан, проживающим на территории Приморского края</w:t>
      </w: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" следующие изменения: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1)в статье 1: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а)в части 1 слова "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auto" w:val="clear"/>
        </w:rPr>
        <w:t>граждан Российской Федерации" заменить словом      "граждан";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б)часть 2 изложить в следующей редакции: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 xml:space="preserve">"2.Гражданам Российской Федерации, указанным в пункте 3 части 1, части 2 статьи 3, абзаце пятом части 1, абзаце пятом части 2 статьи 4 настоящего Закона, меры социальной поддержки 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auto" w:val="clear"/>
        </w:rPr>
        <w:t>в области обеспечения транспортной доступности предоставляются при условии постоянного проживания на территории Приморского края.</w:t>
      </w: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>";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sz w:val="28"/>
          <w:szCs w:val="28"/>
          <w:shd w:fill="auto" w:val="clear"/>
        </w:rPr>
        <w:t>в)дополнить частью 3 следующего содержания: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bCs/>
          <w:sz w:val="28"/>
          <w:szCs w:val="28"/>
          <w:shd w:fill="auto" w:val="clear"/>
        </w:rPr>
        <w:t>"3.Гражданам Республики Беларусь, получившим вид на жительство в Российской Федерации (далее - граждане Республики Беларусь), указанным в пункте 9 части 1 статьи 3 настоящего Закона, м</w:t>
      </w:r>
      <w:r>
        <w:rPr>
          <w:rFonts w:cs="Times New Roman" w:ascii="Times New Roman" w:hAnsi="Times New Roman"/>
          <w:b w:val="false"/>
          <w:bCs/>
          <w:sz w:val="28"/>
          <w:szCs w:val="28"/>
          <w:shd w:fill="auto" w:val="clear"/>
        </w:rPr>
        <w:t>ера социальной поддержки в области обеспечения транспортной доступности предоставляется при условии постоянного проживания на территории Приморского края.</w:t>
      </w: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"</w:t>
      </w:r>
      <w:r>
        <w:rPr>
          <w:rFonts w:ascii="Times New Roman" w:hAnsi="Times New Roman"/>
          <w:sz w:val="28"/>
          <w:szCs w:val="28"/>
          <w:shd w:fill="auto" w:val="clear"/>
        </w:rPr>
        <w:t>;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2)в статье 3: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а)в части 1: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в пункте 1: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абзац первый изложить в следующей редакции:</w:t>
      </w:r>
    </w:p>
    <w:p>
      <w:pPr>
        <w:pStyle w:val="ConsPlusNormal"/>
        <w:suppressAutoHyphens w:val="true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/>
          <w:bCs/>
          <w:sz w:val="28"/>
          <w:szCs w:val="28"/>
          <w:shd w:fill="auto" w:val="clear"/>
        </w:rPr>
        <w:t>"</w:t>
      </w:r>
      <w:r>
        <w:rPr>
          <w:sz w:val="28"/>
          <w:szCs w:val="28"/>
          <w:shd w:fill="auto" w:val="clear"/>
        </w:rPr>
        <w:t>1)граждане Российской Федерации, включенные в федеральный регистр лиц, имеющих право на получение государственной социальной помощи в соответствии с Федеральным законом от 17 июля 1999 года № 178-ФЗ                      "О государственной социальной помощи", из числа:</w:t>
      </w:r>
      <w:r>
        <w:rPr>
          <w:rFonts w:cs="Times New Roman"/>
          <w:bCs/>
          <w:sz w:val="28"/>
          <w:szCs w:val="28"/>
          <w:shd w:fill="auto" w:val="clear"/>
        </w:rPr>
        <w:t>";</w:t>
      </w:r>
    </w:p>
    <w:p>
      <w:pPr>
        <w:pStyle w:val="ConsPlusNormal"/>
        <w:suppressAutoHyphens w:val="true"/>
        <w:spacing w:lineRule="auto" w:line="240" w:before="0" w:after="0"/>
        <w:ind w:firstLine="709" w:left="0" w:right="0"/>
        <w:contextualSpacing/>
        <w:jc w:val="both"/>
        <w:rPr/>
      </w:pPr>
      <w:r>
        <w:rPr>
          <w:sz w:val="28"/>
          <w:szCs w:val="28"/>
          <w:shd w:fill="auto" w:val="clear"/>
        </w:rPr>
        <w:t xml:space="preserve">подпункт </w:t>
      </w:r>
      <w:r>
        <w:rPr>
          <w:bCs/>
          <w:color w:val="000000"/>
          <w:spacing w:val="2"/>
          <w:sz w:val="28"/>
          <w:szCs w:val="28"/>
          <w:shd w:fill="auto" w:val="clear"/>
        </w:rPr>
        <w:t>"а" изложить в следующей редакции:</w:t>
      </w:r>
    </w:p>
    <w:p>
      <w:pPr>
        <w:pStyle w:val="ConsPlusNormal"/>
        <w:suppressAutoHyphens w:val="true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/>
          <w:bCs/>
          <w:sz w:val="28"/>
          <w:szCs w:val="28"/>
          <w:shd w:fill="auto" w:val="clear"/>
        </w:rPr>
        <w:t>"а)инвалидов Великой Отечественной войны;";</w:t>
      </w:r>
    </w:p>
    <w:p>
      <w:pPr>
        <w:pStyle w:val="NoSpacing"/>
        <w:suppressAutoHyphens w:val="true"/>
        <w:spacing w:before="0" w:after="0"/>
        <w:ind w:hanging="0" w:left="72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абзац первый пункта 2 изложить в следующей редакции:</w:t>
      </w:r>
    </w:p>
    <w:p>
      <w:pPr>
        <w:pStyle w:val="ConsPlusNormal"/>
        <w:widowControl w:val="false"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bookmarkStart w:id="0" w:name="P44"/>
      <w:bookmarkEnd w:id="0"/>
      <w:r>
        <w:rPr>
          <w:rFonts w:cs="Times New Roman"/>
          <w:b w:val="false"/>
          <w:bCs/>
          <w:i w:val="false"/>
          <w:iCs w:val="false"/>
          <w:sz w:val="28"/>
          <w:szCs w:val="28"/>
          <w:shd w:fill="auto" w:val="clear"/>
        </w:rPr>
        <w:t xml:space="preserve">"2)граждане Российской Федерации, включенные в краевой регистр лиц, имеющих право на получение ежемесячной денежной выплаты в соответствии с Законом Приморского края от 29 декабря 2004 года № 206-КЗ </w:t>
        <w:br/>
        <w:t>"О социальной поддержке льготных категорий граждан, проживающих на территории Приморского края", из числа:";</w:t>
      </w:r>
    </w:p>
    <w:p>
      <w:pPr>
        <w:pStyle w:val="NoSpacing"/>
        <w:suppressAutoHyphens w:val="true"/>
        <w:spacing w:lineRule="auto" w:line="240" w:before="0" w:after="0"/>
        <w:ind w:hanging="0" w:left="72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пункты 3 - 8 изложить  в следующей редакции: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i w:val="false"/>
          <w:iCs w:val="false"/>
          <w:sz w:val="28"/>
          <w:szCs w:val="28"/>
          <w:shd w:fill="auto" w:val="clear"/>
        </w:rPr>
        <w:t>"</w:t>
      </w:r>
      <w:r>
        <w:rPr>
          <w:rFonts w:ascii="Times New Roman" w:hAnsi="Times New Roman"/>
          <w:sz w:val="28"/>
          <w:szCs w:val="28"/>
          <w:shd w:fill="auto" w:val="clear"/>
        </w:rPr>
        <w:t>3)граждане Российской Федерации, родившиеся в период с 22 июня 1928 года по 3 сентября 1945 года, постоянно проживающие и получающие пенсию на территории Приморского края;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4)граждане Российской Федерации, относящиеся к категории детей-инвалидов, выезжающих на консультацию, обследование и (или) лечение по направлению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Приморском крае, в 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 в Приморском крае, находящиеся на территории Приморского края, вне места их проживания и обратно;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5)несовершеннолетние граждане Российской Федерации - дети, получившие после 18 февраля 2022 года увечье (ранение, травму, контузию) на территориях Донецкой Народной Республики, Луганской Народной Республики, Запорожской области или Херсонской области либо территориях субъектов Российской Федерации, прилегающих к районам проведения специальной военной операции, выезжающие на санаторно-курортное лечение в санаторно-курортные организации, расположенные на территории Приморского края, и обратно в соответствии с Законом Приморского края от   04 марта 2020 года № 735-КЗ "О санаторно-курортном лечении отдельных категорий граждан в Приморском крае";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6)граждане Российской Федерации, относящиеся к категории лиц из числа детей-сирот и детей, оставшихся без попечения родителей, выезжающие на санаторно-курортное лечение в санаторно-курортные организации, расположенные на территории Приморского края, и обратно в соответствии с Законом Приморского края "О санаторно-курортном лечении отдельных категорий граждан в Приморском крае" и (или) на отдых и оздоровление в организации отдыха и оздоровления детей, расположенные на территории Приморского края, и обратно в соответствии с Законом Приморского края от   26 декабря 2014 года № 530-КЗ "Об организации и обеспечении отдыха, оздоровления и организации занятости детей, проживающих на территории Приморского края";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7)граждане Российской Федерации, направляющиеся на консультацию, обследование и (или) лечение по профилю "онкология" по направлению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Приморском крае, в 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 в Приморском крае, находящиеся на территории Приморского края, вне места их проживания и обратно;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8)граждане Российской Федерации, страдающие хронической почечной недостаточностью, получающие лечение методом гемодиализа, выезжающие к месту лечения методом гемодиализа и обратно по графику гемодиализа;";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дополнить пунктом 9 следующего содержания: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"9)граждане Республики Беларусь из числа: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 xml:space="preserve">а)инвалидов Великой Отечественной войны; 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 xml:space="preserve">б)участников Великой Отечественной войны;  </w:t>
      </w:r>
    </w:p>
    <w:p>
      <w:pPr>
        <w:pStyle w:val="NoSpacing"/>
        <w:widowControl/>
        <w:suppressAutoHyphens w:val="true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>в)членов семей погибших (умерших) инвалидов Великой Отечественной войны и участников Великой Отечественной войны.</w:t>
      </w:r>
      <w:r>
        <w:rPr>
          <w:rFonts w:cs="Times New Roman" w:ascii="Times New Roman" w:hAnsi="Times New Roman"/>
          <w:b w:val="false"/>
          <w:bCs/>
          <w:i w:val="false"/>
          <w:iCs w:val="false"/>
          <w:sz w:val="28"/>
          <w:szCs w:val="28"/>
          <w:shd w:fill="auto" w:val="clear"/>
        </w:rPr>
        <w:t>";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sz w:val="28"/>
          <w:szCs w:val="28"/>
          <w:shd w:fill="auto" w:val="clear"/>
        </w:rPr>
        <w:t>б)в части 2 после слова "граждане" дополнить словами "Российской Федерации";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в)в части 3 после слова "граждан" дополнить словами "Российской Федерации";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3)в статье 4: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а)в части 1:</w:t>
      </w:r>
    </w:p>
    <w:p>
      <w:pPr>
        <w:pStyle w:val="NoSpacing"/>
        <w:suppressAutoHyphens w:val="true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  <w:t>абзацы первый - четвертый изложить в следующей редакции: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"1.Гражданам, указанным в </w:t>
      </w:r>
      <w:r>
        <w:rPr>
          <w:rFonts w:cs="Times New Roman" w:ascii="Times New Roman" w:hAnsi="Times New Roman"/>
          <w:b w:val="false"/>
          <w:bCs/>
          <w:strike w:val="false"/>
          <w:dstrike w:val="false"/>
          <w:color w:val="000000"/>
          <w:sz w:val="28"/>
          <w:szCs w:val="28"/>
          <w:u w:val="none"/>
          <w:shd w:fill="auto" w:val="clear"/>
        </w:rPr>
        <w:t>пунктах 1, 9 части 1 статьи 3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 настоящего Закона, предоставляются компенсационные выплаты за проезд в пределах территории Приморского края в размере 50 процентов от: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автомобильным транспортом общего пользования (кроме легкового такси) в междугороднем сообщении по маршрутам регулярных перевозок при использовании разового билета и морским транспортом при использовании разового билета;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стоимости проезда автомобильным транспортом общего пользования (кроме легкового такси) в городском и пригородном сообщении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</w:rPr>
        <w:t xml:space="preserve">по  маршрутам 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регулярных перевозок при использовании билета длительного пользования, предоставляющего право на неограниченное количество поездок в течение указанного срока действия;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автомобильным транспортом общего пользования (кроме легкового такси) в пригородном сообщении по маршрутам регулярных перевозок при использовании билета длительного пользования, предоставляющего право на фиксированное количество поездок в течение указанного срока действия;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б)в части 2: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в абзаце первом после слова 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"Г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ражданам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 дополнить словами                       " 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абзацы 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второй - четвертый изложить в следующей редакции: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автомобильным транспортом общего пользования (кроме легкового такси) в междугороднем сообщении по маршрутам регулярных перевозок при использовании разового билета и морским транспортом при использовании разового билета;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автомобильным транспортом общего пользования (кроме легкового такси) в городском и пригородном сообщении по  маршрутам регулярных перевозок при использовании билета длительного пользования, предоставляющего право на неограниченное количество поездок в течение указанного срока действия;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автомобильным транспортом общего пользования (кроме легкового такси) в пригородном сообщении по маршрутам регулярных перевозок при использовании билета длительного пользования, предоставляющего право на фиксированное количество поездок в течение указанного срока действия;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в) в части 3: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в абзаце первом после слова 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"Г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ражданам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 дополнить словами                         "Российской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абзац второй изложить в следующей редакции: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воздушным транспортом на местных авиалиниях, автомобильным транспортом общего пользования (кроме легкового такси) в междугородном сообщении по маршрутам регулярных перевозок при использовании разового билета и морским транспортом при использовании разового билета;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г)в части 4: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 абзаце первом после слова "Гражданам" дополнить словами                 "Российской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абзац второй изложить в следующей редакции: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воздушным транспортом на местных авиалиниях, автомобильным транспортом общего пользования (кроме легкового такси) в междугородном сообщении по маршрутам регулярных перевозок при использовании разового билета и морским транспортом при использовании разового билета;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д)в части 5: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в абзаце первом после слова 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"Г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ражданам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 дополнить словами                          " 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абзац второй изложить в следующей редакции: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воздушным транспортом на местных авиалиниях, автомобильным транспортом общего пользования (кроме легкового такси) в междугородном сообщении по маршрутам регулярных перевозок при использовании разового билета и морским транспортом при использовании разового билета;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абзац пятый изложить в следующей редакции: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стоимости проезда автомобильным транспортом общего пользования (кроме легкового такси) в городском сообщении по маршрутам регулярных перевозок при использовании билета длительного пользования, предоставляющего право на неограниченное количество поездок в течение указанного срока действия.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в абзаце седьмом после слова "граждан" дополнить словами "Российской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4)в части 1 статьи 5: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а)в абзаце первом после слова "гражданам" дополнить словами "Российской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б)в абзаце втором после слова "граждан" дополнить словами "Российской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5)в статье 6: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а)абзацы второй - четвертый части 1 изложить в следующей редакции: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color w:val="000000"/>
          <w:sz w:val="28"/>
          <w:szCs w:val="28"/>
          <w:shd w:fill="auto" w:val="clear"/>
        </w:rPr>
        <w:t>гражданам Российской Федерации старше 70 лет, указанным в пункте 1 части 1 статьи 3 настоящего Закона, инвалидам I группы, использующим карту "Приморец" или иную банковскую карту национальной платежной системы "МИР" (далее - карта "МИР") для оплаты проезда во внеуличном транспорте, городском наземном электрическом транспорте, автомобильном транспорте общего пользования (кроме легкового такси) в городском и пригородном сообщении по маршрутам регулярных перевозок, оснащенном электронными устройствами системы оплаты и учета проезда;</w:t>
      </w:r>
      <w:bookmarkStart w:id="1" w:name="P104"/>
      <w:bookmarkEnd w:id="1"/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гражданам Российской Федерации старше 70 лет, указанным в пунктах 2, 3 части 1 статьи 3 настоящего Закона (за исключением граждан, включенных в федеральный регистр лиц, имеющих право на получение государственной социальной помощи в соответствии с Федеральным законом "О государственной социальной помощи"), использующим карту "Приморец" или иную карту "МИР" для оплаты проезда во внеуличном транспорте, городском наземном электрическом транспорте, автомобильном транспорте общего пользования (кроме легкового такси) в городском и пригородном сообщении по маршрутам регулярных перевозок, в железнодорожном транспорте общего пользования в пригородном сообщении, оснащенном электронными устройствами системы оплаты и учета проезда;</w:t>
      </w:r>
      <w:bookmarkStart w:id="2" w:name="P105"/>
      <w:bookmarkEnd w:id="2"/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детям-инвалидам, являющимся гражданами Российской Федерации,  в возрасте от 7 до 18 лет (включительно) и их законным представителям, использующим карты "МИР" для оплаты проезда во внеуличном транспорте, городском наземном электрическом транспорте, автомобильном транспорте общего пользования (кроме легкового такси) в городском и пригородном сообщении по маршрутам регулярных перевозок, оснащенном электронными устройствами системы оплаты и учета проезда.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б)по тексту части 3 слово "граждан" заменить словами "граждан 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в)в части 4: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 абзаце первом после слова "гражданам" дополнить словами                            "Российской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изложить абзац второй в следующей редакции: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709"/>
        <w:contextualSpacing/>
        <w:jc w:val="both"/>
        <w:rPr/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"При наличии у ребенка-инвалида, указанного в абзаце четвертом части 1 настоящей статьи, одновременно права на получение денежной выплаты на проезд в соответствии с настоящей статьей и на получение денежной выплаты на проезд городским наземным электрическим транспортом, автомобильным транспортом (за исключением легкового такси) в городском и пригородном сообщении по маршрутам регулярных перевозок в пределах территории Приморского края в соответствии с частью 3 статьи 3 Закона Приморского края от 23 ноября 2018 года № 392-КЗ "О социальной поддержке многодетных семей, проживающих на территории Приморского края" мера социальной поддержки предоставляется по одному основанию по выбору его законного представителя.";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6)статью 8 дополнить абзацем вторым следующего содержания: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"Меры социальной поддержки в области обеспечения транспортной доступности предоставляются в пределах объемов бюджетных ассигнований и лимитов бюджетных обязательств, предусмотренных в краевом бюджете на указанные цели в текущем финансовом году.";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7) в статье 10: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а)по тексту статьи слово </w:t>
      </w:r>
      <w:r>
        <w:rPr>
          <w:rFonts w:eastAsia="Times New Roman"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"гражданам" заменить словами "гражданам Российской Федерации";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>б)дополнить частью 4 следующего содержания: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>"</w:t>
      </w:r>
      <w:r>
        <w:rPr>
          <w:rFonts w:ascii="Times New Roman" w:hAnsi="Times New Roman"/>
          <w:sz w:val="28"/>
          <w:szCs w:val="28"/>
          <w:shd w:fill="auto" w:val="clear"/>
        </w:rPr>
        <w:t>4. Компенсационные выплаты за проезд гражданам Республики Беларусь, указанным в пункте 9 части 1 статьи 3 настоящего Закона,  предоставляется в отношении поездок, совершенных по 31 декабря 2029 года включительно.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>";</w:t>
      </w:r>
    </w:p>
    <w:p>
      <w:pPr>
        <w:pStyle w:val="BodyText"/>
        <w:suppressAutoHyphens w:val="true"/>
        <w:spacing w:lineRule="auto" w:line="240" w:before="0" w:after="0"/>
        <w:ind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>8)</w:t>
      </w:r>
      <w:r>
        <w:rPr>
          <w:rFonts w:eastAsia="Times New Roman"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по тексту статьи 11 слово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>"граждане"</w:t>
      </w:r>
      <w:r>
        <w:rPr>
          <w:rFonts w:eastAsia="Times New Roman" w:cs="Times New Roman" w:ascii="Times New Roman" w:hAnsi="Times New Roman"/>
          <w:b w:val="false"/>
          <w:bCs/>
          <w:color w:val="000000"/>
          <w:sz w:val="28"/>
          <w:szCs w:val="28"/>
          <w:shd w:fill="auto" w:val="clear"/>
        </w:rPr>
        <w:t xml:space="preserve"> заменить словами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shd w:fill="auto" w:val="clear"/>
        </w:rPr>
        <w:t xml:space="preserve">"граждане Российской Федерации". </w:t>
      </w:r>
    </w:p>
    <w:p>
      <w:pPr>
        <w:pStyle w:val="NoSpacing"/>
        <w:suppressAutoHyphens w:val="true"/>
        <w:spacing w:before="0" w:after="0"/>
        <w:ind w:hanging="0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none"/>
          <w:shd w:fill="auto" w:val="clear"/>
        </w:rPr>
      </w:pPr>
      <w:r>
        <w:rPr>
          <w:rFonts w:cs="Times New Roman" w:ascii="Times New Roman" w:hAnsi="Times New Roman"/>
          <w:bCs/>
          <w:color w:val="000000"/>
          <w:sz w:val="28"/>
          <w:szCs w:val="28"/>
          <w:shd w:fill="auto" w:val="clear"/>
        </w:rPr>
      </w:r>
    </w:p>
    <w:p>
      <w:pPr>
        <w:pStyle w:val="BodyText"/>
        <w:suppressAutoHyphens w:val="true"/>
        <w:spacing w:lineRule="auto" w:line="240" w:before="0" w:after="0"/>
        <w:ind w:firstLine="720"/>
        <w:contextualSpacing/>
        <w:jc w:val="both"/>
        <w:rPr/>
      </w:pPr>
      <w:hyperlink r:id="rId2" w:tooltip="https://login.consultant.ru/link/?req=doc&amp;base=LAW&amp;n=463501&amp;dst=100009">
        <w:r>
          <w:rPr>
            <w:rStyle w:val="Style"/>
            <w:rFonts w:cs="Times New Roman" w:ascii="Times New Roman" w:hAnsi="Times New Roman"/>
            <w:color w:val="000000"/>
            <w:sz w:val="28"/>
            <w:szCs w:val="28"/>
            <w:shd w:fill="auto" w:val="clear"/>
          </w:rPr>
          <w:t>СТАТЬЯ 2.</w:t>
        </w:r>
      </w:hyperlink>
    </w:p>
    <w:p>
      <w:pPr>
        <w:pStyle w:val="NoSpacing"/>
        <w:suppressAutoHyphens w:val="true"/>
        <w:spacing w:lineRule="auto" w:line="240"/>
        <w:ind w:firstLine="709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  <w:shd w:fill="auto" w:val="clear"/>
        </w:rPr>
        <w:t>Настоящий Закон вступает в силу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  <w:shd w:fill="auto" w:val="clear"/>
        </w:rPr>
        <w:t xml:space="preserve"> со дня его официального опубликования.</w:t>
      </w:r>
    </w:p>
    <w:p>
      <w:pPr>
        <w:pStyle w:val="NoSpacing"/>
        <w:suppressAutoHyphens w:val="true"/>
        <w:spacing w:lineRule="auto" w:line="240"/>
        <w:ind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suppressAutoHyphens w:val="true"/>
        <w:spacing w:lineRule="auto" w:line="240"/>
        <w:ind w:hanging="0"/>
        <w:jc w:val="both"/>
        <w:rPr>
          <w:rFonts w:ascii="Times New Roman" w:hAnsi="Times New Roman" w:cs="Times New Roman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NoSpacing"/>
        <w:suppressAutoHyphens w:val="true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cs="Times New Roman" w:ascii="Times New Roman" w:hAnsi="Times New Roman"/>
          <w:iCs/>
          <w:sz w:val="28"/>
          <w:szCs w:val="28"/>
        </w:rPr>
      </w:r>
    </w:p>
    <w:p>
      <w:pPr>
        <w:pStyle w:val="NoSpacing"/>
        <w:suppressAutoHyphens w:val="true"/>
        <w:ind w:right="-113"/>
        <w:jc w:val="both"/>
        <w:rPr/>
      </w:pPr>
      <w:hyperlink r:id="rId3" w:tooltip="https://login.consultant.ru/link/?req=doc&amp;base=LAW&amp;n=463501&amp;dst=100009">
        <w:bookmarkStart w:id="3" w:name="Par3"/>
        <w:r>
          <w:rPr>
            <w:rStyle w:val="Style"/>
            <w:rFonts w:cs="Times New Roman" w:ascii="Times New Roman" w:hAnsi="Times New Roman"/>
            <w:sz w:val="28"/>
            <w:szCs w:val="28"/>
          </w:rPr>
          <w:t>Губернатор края</w:t>
          <w:tab/>
          <w:t xml:space="preserve">                                                                            О.Н. Кожемяко</w:t>
        </w:r>
      </w:hyperlink>
      <w:bookmarkEnd w:id="3"/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417" w:right="850" w:gutter="0" w:header="0" w:top="851" w:footer="0" w:bottom="96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PT Astra Serif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71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CaptionChar">
    <w:name w:val="Caption Char"/>
    <w:qFormat/>
    <w:rPr/>
  </w:style>
  <w:style w:type="character" w:styleId="FootnoteTextChar">
    <w:name w:val="Footnote Text Char"/>
    <w:qFormat/>
    <w:rPr>
      <w:sz w:val="18"/>
    </w:rPr>
  </w:style>
  <w:style w:type="character" w:styleId="user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qFormat/>
    <w:rPr>
      <w:sz w:val="20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Верхний колонтитул Знак"/>
    <w:basedOn w:val="DefaultParagraphFont"/>
    <w:qFormat/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character" w:styleId="Style8">
    <w:name w:val="Нижний колонтитул Знак"/>
    <w:basedOn w:val="DefaultParagraphFont"/>
    <w:qFormat/>
    <w:rPr>
      <w:rFonts w:ascii="Times New Roman" w:hAnsi="Times New Roman" w:eastAsia="Tahoma" w:cs="Mangal"/>
      <w:sz w:val="24"/>
      <w:szCs w:val="21"/>
      <w:lang w:eastAsia="zh-CN" w:bidi="hi-IN"/>
    </w:rPr>
  </w:style>
  <w:style w:type="character" w:styleId="1">
    <w:name w:val="Гиперссылка1"/>
    <w:qFormat/>
    <w:rPr>
      <w:color w:val="000080"/>
      <w:u w:val="single"/>
    </w:rPr>
  </w:style>
  <w:style w:type="character" w:styleId="Style9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user2">
    <w:name w:val="Символ нумерации (user)"/>
    <w:qFormat/>
    <w:rPr/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Style10">
    <w:name w:val="Текст примечания Знак"/>
    <w:basedOn w:val="DefaultParagraphFont"/>
    <w:qFormat/>
    <w:rPr>
      <w:szCs w:val="20"/>
    </w:rPr>
  </w:style>
  <w:style w:type="character" w:styleId="Style11">
    <w:name w:val="Тема примечания Знак"/>
    <w:basedOn w:val="Style10"/>
    <w:qFormat/>
    <w:rPr>
      <w:b/>
      <w:bCs/>
      <w:szCs w:val="20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 Devanagari"/>
    </w:rPr>
  </w:style>
  <w:style w:type="paragraph" w:styleId="Caption">
    <w:name w:val="caption"/>
    <w:basedOn w:val="Normal"/>
    <w:link w:val="CaptionChar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IndexHeading">
    <w:name w:val="index heading"/>
    <w:basedOn w:val="user3"/>
    <w:pPr/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Subtitle">
    <w:name w:val="Subtitle"/>
    <w:basedOn w:val="Normal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qFormat/>
    <w:pPr>
      <w:ind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pPr>
      <w:spacing w:before="0" w:after="57"/>
    </w:pPr>
    <w:rPr/>
  </w:style>
  <w:style w:type="paragraph" w:styleId="TOC2">
    <w:name w:val="toc 2"/>
    <w:basedOn w:val="Normal"/>
    <w:pPr>
      <w:spacing w:before="0" w:after="57"/>
      <w:ind w:left="283"/>
    </w:pPr>
    <w:rPr/>
  </w:style>
  <w:style w:type="paragraph" w:styleId="TOC3">
    <w:name w:val="toc 3"/>
    <w:basedOn w:val="Normal"/>
    <w:pPr>
      <w:spacing w:before="0" w:after="57"/>
      <w:ind w:left="567"/>
    </w:pPr>
    <w:rPr/>
  </w:style>
  <w:style w:type="paragraph" w:styleId="TOC4">
    <w:name w:val="toc 4"/>
    <w:basedOn w:val="Normal"/>
    <w:pPr>
      <w:spacing w:before="0" w:after="57"/>
      <w:ind w:left="850"/>
    </w:pPr>
    <w:rPr/>
  </w:style>
  <w:style w:type="paragraph" w:styleId="TOC5">
    <w:name w:val="toc 5"/>
    <w:basedOn w:val="Normal"/>
    <w:pPr>
      <w:spacing w:before="0" w:after="57"/>
      <w:ind w:left="1134"/>
    </w:pPr>
    <w:rPr/>
  </w:style>
  <w:style w:type="paragraph" w:styleId="TOC6">
    <w:name w:val="toc 6"/>
    <w:basedOn w:val="Normal"/>
    <w:pPr>
      <w:spacing w:before="0" w:after="57"/>
      <w:ind w:left="1417"/>
    </w:pPr>
    <w:rPr/>
  </w:style>
  <w:style w:type="paragraph" w:styleId="TOC7">
    <w:name w:val="toc 7"/>
    <w:basedOn w:val="Normal"/>
    <w:pPr>
      <w:spacing w:before="0" w:after="57"/>
      <w:ind w:left="1701"/>
    </w:pPr>
    <w:rPr/>
  </w:style>
  <w:style w:type="paragraph" w:styleId="TOC8">
    <w:name w:val="toc 8"/>
    <w:basedOn w:val="Normal"/>
    <w:pPr>
      <w:spacing w:before="0" w:after="57"/>
      <w:ind w:left="1984"/>
    </w:pPr>
    <w:rPr/>
  </w:style>
  <w:style w:type="paragraph" w:styleId="TOC9">
    <w:name w:val="toc 9"/>
    <w:basedOn w:val="Normal"/>
    <w:pPr>
      <w:spacing w:before="0" w:after="57"/>
      <w:ind w:left="2268"/>
    </w:pPr>
    <w:rPr/>
  </w:style>
  <w:style w:type="paragraph" w:styleId="TOCHeading">
    <w:name w:val="TOC Head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0"/>
      <w:szCs w:val="22"/>
      <w:lang w:val="ru-RU" w:eastAsia="en-US" w:bidi="ar-SA"/>
    </w:rPr>
  </w:style>
  <w:style w:type="paragraph" w:styleId="TableofFigures">
    <w:name w:val="table of figures"/>
    <w:basedOn w:val="Normal"/>
    <w:pPr>
      <w:spacing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1">
    <w:name w:val="index heading1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4">
    <w:name w:val="Верхний и нижний колонтитулы"/>
    <w:basedOn w:val="Normal"/>
    <w:qFormat/>
    <w:pPr/>
    <w:rPr/>
  </w:style>
  <w:style w:type="paragraph" w:styleId="Style15">
    <w:name w:val="Колонтитул"/>
    <w:basedOn w:val="Normal"/>
    <w:qFormat/>
    <w:pPr/>
    <w:rPr/>
  </w:style>
  <w:style w:type="paragraph" w:styleId="user5">
    <w:name w:val="Колонтитулы (user)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ahoma" w:cs="FreeSans;Times New Roman"/>
      <w:sz w:val="24"/>
      <w:szCs w:val="24"/>
      <w:lang w:eastAsia="zh-CN" w:bidi="hi-IN"/>
    </w:rPr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ahoma" w:cs="Mangal"/>
      <w:sz w:val="24"/>
      <w:szCs w:val="21"/>
      <w:lang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Courier New"/>
      <w:b/>
      <w:color w:val="auto"/>
      <w:kern w:val="0"/>
      <w:sz w:val="24"/>
      <w:szCs w:val="24"/>
      <w:lang w:val="ru-RU" w:eastAsia="zh-CN" w:bidi="hi-IN"/>
    </w:rPr>
  </w:style>
  <w:style w:type="paragraph" w:styleId="CommentText">
    <w:name w:val="annotation text"/>
    <w:basedOn w:val="Normal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qFormat/>
    <w:pPr/>
    <w:rPr>
      <w:b/>
      <w:bCs/>
    </w:rPr>
  </w:style>
  <w:style w:type="paragraph" w:styleId="Style17">
    <w:name w:val="Комментарий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user6">
    <w:name w:val="Комментарий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user7">
    <w:name w:val="Без списка (user)"/>
    <w:qFormat/>
  </w:style>
  <w:style w:type="numbering" w:styleId="Style18" w:default="1">
    <w:name w:val="Без списка"/>
    <w:uiPriority w:val="99"/>
    <w:semiHidden/>
    <w:unhideWhenUsed/>
    <w:qFormat/>
  </w:style>
  <w:style w:type="table" w:styleId="747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9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0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51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52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3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5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61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2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3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6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8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DEBF6" w:themeFill="accent1" w:themeFillTint="34"/>
      </w:tcPr>
    </w:tblStylePr>
    <w:tblStylePr w:type="band1Vert">
      <w:rPr>
        <w:sz w:val="22"/>
      </w:rPr>
      <w:tblPr/>
      <w:tcPr>
        <w:shd w:val="clear" w:color="FFFFFF" w:fill="DDEBF6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0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4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5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6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FEBF6" w:themeFill="accent1" w:themeFillTint="32"/>
      </w:tcPr>
    </w:tblStylePr>
    <w:tblStylePr w:type="band1Vert">
      <w:rPr>
        <w:sz w:val="22"/>
      </w:rPr>
      <w:tblPr/>
      <w:tcPr>
        <w:shd w:val="clear" w:color="FFFFFF" w:fill="DFEBF6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67A4D8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77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5D6" w:themeFill="accent2" w:themeFillTint="32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78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79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EF2CB" w:themeFill="accent4" w:themeFillTint="34"/>
      </w:tcPr>
    </w:tblStylePr>
    <w:tblStylePr w:type="band1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80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9E2F2" w:themeFill="accent5" w:themeFillTint="34"/>
      </w:tcPr>
    </w:tblStylePr>
    <w:tblStylePr w:type="band1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81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8" w:themeFill="accent6" w:themeFillTint="34"/>
      </w:tcPr>
    </w:tblStylePr>
    <w:tblStylePr w:type="band1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82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8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2EB" w:themeFill="accent1" w:themeFillTint="75"/>
      </w:tcPr>
    </w:tblStylePr>
    <w:tblStylePr w:type="band1Vert">
      <w:tblPr/>
      <w:tcPr>
        <w:shd w:val="clear" w:color="FFFFFF" w:fill="B4D2EB" w:themeFill="accent1" w:themeFillTint="75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1"/>
      </w:tcPr>
    </w:tblStylePr>
  </w:style>
  <w:style w:type="table" w:styleId="78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6C3A1" w:themeFill="accent2" w:themeFillTint="75"/>
      </w:tcPr>
    </w:tblStylePr>
    <w:tblStylePr w:type="band1Vert">
      <w:tblPr/>
      <w:tcPr>
        <w:shd w:val="clear" w:color="FFFFFF" w:fill="F6C3A1" w:themeFill="accent2" w:themeFillTint="75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</w:style>
  <w:style w:type="table" w:styleId="78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</w:style>
  <w:style w:type="table" w:styleId="78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EE189" w:themeFill="accent4" w:themeFillTint="75"/>
      </w:tcPr>
    </w:tblStylePr>
    <w:tblStylePr w:type="band1Vert">
      <w:tblPr/>
      <w:tcPr>
        <w:shd w:val="clear" w:color="FFFFFF" w:fill="FEE189" w:themeFill="accent4" w:themeFillTint="75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</w:style>
  <w:style w:type="table" w:styleId="78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ABFE3" w:themeFill="accent5" w:themeFillTint="75"/>
      </w:tcPr>
    </w:tblStylePr>
    <w:tblStylePr w:type="band1Vert">
      <w:tblPr/>
      <w:tcPr>
        <w:shd w:val="clear" w:color="FFFFFF" w:fill="AABFE3" w:themeFill="accent5" w:themeFillTint="7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5"/>
      </w:tcPr>
    </w:tblStylePr>
  </w:style>
  <w:style w:type="table" w:styleId="78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EDBA8" w:themeFill="accent6" w:themeFillTint="75"/>
      </w:tcPr>
    </w:tblStylePr>
    <w:tblStylePr w:type="band1Vert">
      <w:tblPr/>
      <w:tcPr>
        <w:shd w:val="clear" w:color="FFFFFF" w:fill="BEDBA8" w:themeFill="accent6" w:themeFillTint="75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</w:style>
  <w:style w:type="table" w:styleId="789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79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17bba" w:themeColor="accent1" w:themeTint="80" w:themeShade="95"/>
      </w:rPr>
      <w:tblPr/>
    </w:tblStylePr>
    <w:tblStylePr w:type="firstRow">
      <w:rPr>
        <w:b/>
        <w:color w:val="317bba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  <w:tblPr/>
    </w:tblStylePr>
    <w:tblStylePr w:type="lastRow">
      <w:rPr>
        <w:b/>
        <w:color w:val="317bba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79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79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606060" w:themeColor="accent3" w:themeTint="fe" w:themeShade="95"/>
      </w:rPr>
      <w:tblPr/>
    </w:tblStylePr>
    <w:tblStylePr w:type="firstRow">
      <w:rPr>
        <w:b/>
        <w:color w:val="606060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  <w:tblPr/>
    </w:tblStylePr>
    <w:tblStylePr w:type="lastRow">
      <w:rPr>
        <w:b/>
        <w:color w:val="606060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79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79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9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54374" w:themeColor="accent5" w:themeShade="95"/>
      </w:rPr>
      <w:tblPr/>
    </w:tblStylePr>
    <w:tblStylePr w:type="firstRow">
      <w:rPr>
        <w:b/>
        <w:color w:val="254374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  <w:tblPr/>
    </w:tblStylePr>
    <w:tblStylePr w:type="lastRow">
      <w:rPr>
        <w:b/>
        <w:color w:val="254374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796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blPr/>
      <w:tcPr>
        <w:shd w:val="clear" w:color="FFFFFF" w:fill="DDEBF6" w:themeFill="accent1" w:themeFillTint="34"/>
      </w:tcPr>
    </w:tblStylePr>
    <w:tblStylePr w:type="band1Vert">
      <w:tblPr/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17bba"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317bba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9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606060"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606060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EF2CB" w:themeFill="accent4" w:themeFillTint="34"/>
      </w:tcPr>
    </w:tblStylePr>
    <w:tblStylePr w:type="band1Vert">
      <w:tblPr/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blPr/>
      <w:tcPr>
        <w:shd w:val="clear" w:color="FFFFFF" w:fill="D9E2F2" w:themeFill="accent5" w:themeFillTint="34"/>
      </w:tcPr>
    </w:tblStylePr>
    <w:tblStylePr w:type="band1Vert">
      <w:tblPr/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  <w:tblPr/>
    </w:tblStylePr>
    <w:tblStylePr w:type="firstCol">
      <w:pPr>
        <w:jc w:val="right"/>
      </w:pPr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val="254374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54374"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254374"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blPr/>
      <w:tcPr>
        <w:shd w:val="clear" w:color="FFFFFF" w:fill="E2EFD8" w:themeFill="accent6" w:themeFillTint="34"/>
      </w:tcPr>
    </w:tblStylePr>
    <w:tblStylePr w:type="band1Vert">
      <w:tblPr/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  <w:tblPr/>
    </w:tblStylePr>
    <w:tblStylePr w:type="firstCol">
      <w:pPr>
        <w:jc w:val="right"/>
      </w:pPr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val="42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26429"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26429"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803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1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12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13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14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15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16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17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8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9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0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1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2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EABDB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3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AD0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4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5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5E6F4" w:themeFill="accent1" w:themeFillTint="40"/>
      </w:tcPr>
    </w:tblStylePr>
    <w:tblStylePr w:type="band1Vert">
      <w:rPr>
        <w:sz w:val="22"/>
      </w:rPr>
      <w:tblPr/>
      <w:tcPr>
        <w:shd w:val="clear" w:color="FFFFFF" w:fill="D5E6F4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6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7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8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29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CFDCF0" w:themeFill="accent5" w:themeFillTint="40"/>
      </w:tcPr>
    </w:tblStylePr>
    <w:tblStylePr w:type="band1Vert">
      <w:rPr>
        <w:sz w:val="22"/>
      </w:rPr>
      <w:tblPr/>
      <w:tcPr>
        <w:shd w:val="clear" w:color="FFFFFF" w:fill="CFDC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0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BD0" w:themeFill="accent6" w:themeFillTint="40"/>
      </w:tcPr>
    </w:tblStylePr>
    <w:tblStylePr w:type="band1Vert">
      <w:rPr>
        <w:sz w:val="22"/>
      </w:rPr>
      <w:tblPr/>
      <w:tcPr>
        <w:shd w:val="clear" w:color="FFFFFF" w:fill="DBEBD0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31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5B9BD5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1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1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1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864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864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864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8EABDB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8EABDB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8EABDB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AD0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AD0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AD0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838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3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45d8d" w:themeColor="accent1" w:themeShade="95"/>
      </w:rPr>
      <w:tblPr/>
    </w:tblStylePr>
    <w:tblStylePr w:type="firstRow">
      <w:rPr>
        <w:b/>
        <w:color w:val="245d8d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  <w:tblPr/>
    </w:tblStylePr>
    <w:tblStylePr w:type="lastRow">
      <w:rPr>
        <w:b/>
        <w:color w:val="245d8d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4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c95712" w:themeColor="accent2" w:themeTint="97" w:themeShade="95"/>
      </w:rPr>
      <w:tblPr/>
    </w:tblStylePr>
    <w:tblStylePr w:type="firstRow">
      <w:rPr>
        <w:b/>
        <w:color w:val="c95712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  <w:tblPr/>
    </w:tblStylePr>
    <w:tblStylePr w:type="lastRow">
      <w:rPr>
        <w:b/>
        <w:color w:val="c95712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4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57575" w:themeColor="accent3" w:themeTint="98" w:themeShade="95"/>
      </w:rPr>
      <w:tblPr/>
    </w:tblStylePr>
    <w:tblStylePr w:type="firstRow">
      <w:rPr>
        <w:b/>
        <w:color w:val="757575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  <w:tblPr/>
    </w:tblStylePr>
    <w:tblStylePr w:type="lastRow">
      <w:rPr>
        <w:b/>
        <w:color w:val="757575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4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cd9600" w:themeColor="accent4" w:themeTint="9a" w:themeShade="95"/>
      </w:rPr>
      <w:tblPr/>
    </w:tblStylePr>
    <w:tblStylePr w:type="firstRow">
      <w:rPr>
        <w:b/>
        <w:color w:val="cd9600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  <w:tblPr/>
    </w:tblStylePr>
    <w:tblStylePr w:type="lastRow">
      <w:rPr>
        <w:b/>
        <w:color w:val="cd9600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4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5e9e" w:themeColor="accent5" w:themeTint="9a" w:themeShade="95"/>
      </w:rPr>
      <w:tblPr/>
    </w:tblStylePr>
    <w:tblStylePr w:type="firstRow">
      <w:rPr>
        <w:b/>
        <w:color w:val="335e9e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  <w:tblPr/>
    </w:tblStylePr>
    <w:tblStylePr w:type="lastRow">
      <w:rPr>
        <w:b/>
        <w:color w:val="335e9e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4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5f8f3c" w:themeColor="accent6" w:themeTint="98" w:themeShade="95"/>
      </w:rPr>
      <w:tblPr/>
    </w:tblStylePr>
    <w:tblStylePr w:type="firstRow">
      <w:rPr>
        <w:b/>
        <w:color w:val="5f8f3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  <w:tblPr/>
    </w:tblStylePr>
    <w:tblStylePr w:type="lastRow">
      <w:rPr>
        <w:b/>
        <w:color w:val="5f8f3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45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84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blPr/>
      <w:tcPr>
        <w:shd w:val="clear" w:color="FFFFFF" w:fill="D5E6F4" w:themeFill="accent1" w:themeFillTint="40"/>
      </w:tcPr>
    </w:tblStylePr>
    <w:tblStylePr w:type="band1Vert">
      <w:tblPr/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  <w:tblPr/>
    </w:tblStylePr>
    <w:tblStylePr w:type="firstCol">
      <w:pPr>
        <w:jc w:val="right"/>
      </w:pPr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245d8d"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245d8d"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245d8d" w:themeColor="accent1" w:themeShade="95"/>
        <w:sz w:val="22"/>
      </w:rPr>
      <w:tblPr/>
    </w:tblStylePr>
  </w:style>
  <w:style w:type="table" w:styleId="84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95712"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95712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95712" w:themeColor="accent2" w:themeTint="97" w:themeShade="95"/>
        <w:sz w:val="22"/>
      </w:rPr>
      <w:tblPr/>
    </w:tblStylePr>
  </w:style>
  <w:style w:type="table" w:styleId="84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757575"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757575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757575" w:themeColor="accent3" w:themeTint="98" w:themeShade="95"/>
        <w:sz w:val="22"/>
      </w:rPr>
      <w:tblPr/>
    </w:tblStylePr>
  </w:style>
  <w:style w:type="table" w:styleId="84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cd9600"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cd9600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cd9600" w:themeColor="accent4" w:themeTint="9a" w:themeShade="95"/>
        <w:sz w:val="22"/>
      </w:rPr>
      <w:tblPr/>
    </w:tblStylePr>
  </w:style>
  <w:style w:type="table" w:styleId="85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blPr/>
      <w:tcPr>
        <w:shd w:val="clear" w:color="FFFFFF" w:fill="CFDCF0" w:themeFill="accent5" w:themeFillTint="40"/>
      </w:tcPr>
    </w:tblStylePr>
    <w:tblStylePr w:type="band1Vert">
      <w:tblPr/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335e9e"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335e9e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335e9e" w:themeColor="accent5" w:themeTint="9a" w:themeShade="95"/>
        <w:sz w:val="22"/>
      </w:rPr>
      <w:tblPr/>
    </w:tblStylePr>
  </w:style>
  <w:style w:type="table" w:styleId="85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blPr/>
      <w:tcPr>
        <w:shd w:val="clear" w:color="FFFFFF" w:fill="DBEBD0" w:themeFill="accent6" w:themeFillTint="40"/>
      </w:tcPr>
    </w:tblStylePr>
    <w:tblStylePr w:type="band1Vert">
      <w:tblPr/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5f8f3c"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5f8f3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val="5f8f3c" w:themeColor="accent6" w:themeTint="98" w:themeShade="95"/>
        <w:sz w:val="22"/>
      </w:rPr>
      <w:tblPr/>
    </w:tblStylePr>
  </w:style>
  <w:style w:type="table" w:styleId="852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53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54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55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56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57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58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59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60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CE0F1" w:themeFill="accent1" w:themeFillTint="50"/>
      </w:tcPr>
    </w:tblStylePr>
    <w:tblStylePr w:type="band2Vert">
      <w:rPr>
        <w:sz w:val="22"/>
      </w:rPr>
      <w:tblPr/>
      <w:tcPr>
        <w:shd w:val="clear" w:color="FFFFFF" w:fill="CCE0F1" w:themeFill="accent1" w:themeFillTint="50"/>
      </w:tcPr>
    </w:tblStylePr>
    <w:tblStylePr w:type="firstCol">
      <w:rPr>
        <w:sz w:val="22"/>
      </w:rPr>
      <w:tblPr/>
      <w:tcPr>
        <w:shd w:val="clear" w:color="FFFFFF" w:fill="67A4D8" w:themeFill="accent1" w:themeFillTint="ea"/>
      </w:tcPr>
    </w:tblStylePr>
    <w:tblStylePr w:type="firstRow">
      <w:rPr>
        <w:sz w:val="22"/>
      </w:rPr>
      <w:tblPr/>
      <w:tcPr>
        <w:shd w:val="clear" w:color="FFFFFF" w:fill="67A4D8" w:themeFill="accent1" w:themeFillTint="ea"/>
      </w:tcPr>
    </w:tblStylePr>
    <w:tblStylePr w:type="lastCol">
      <w:rPr>
        <w:sz w:val="22"/>
      </w:rPr>
      <w:tblPr/>
      <w:tcPr>
        <w:shd w:val="clear" w:color="FFFFFF" w:fill="67A4D8" w:themeFill="accent1" w:themeFillTint="ea"/>
      </w:tcPr>
    </w:tblStylePr>
    <w:tblStylePr w:type="lastRow">
      <w:rPr>
        <w:sz w:val="22"/>
      </w:rPr>
      <w:tblPr/>
      <w:tcPr>
        <w:shd w:val="clear" w:color="FFFFFF" w:fill="67A4D8" w:themeFill="accent1" w:themeFillTint="ea"/>
      </w:tcPr>
    </w:tblStylePr>
  </w:style>
  <w:style w:type="table" w:styleId="861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firstCol">
      <w:rPr>
        <w:sz w:val="22"/>
      </w:rPr>
      <w:tblPr/>
      <w:tcPr>
        <w:shd w:val="clear" w:color="FFFFFF" w:fill="F4B185" w:themeFill="accent2" w:themeFillTint="97"/>
      </w:tcPr>
    </w:tblStylePr>
    <w:tblStylePr w:type="firstRow">
      <w:rPr>
        <w:sz w:val="22"/>
      </w:rPr>
      <w:tblPr/>
      <w:tcPr>
        <w:shd w:val="clear" w:color="FFFFFF" w:fill="F4B185" w:themeFill="accent2" w:themeFillTint="97"/>
      </w:tcPr>
    </w:tblStylePr>
    <w:tblStylePr w:type="lastCol">
      <w:rPr>
        <w:sz w:val="22"/>
      </w:rPr>
      <w:tblPr/>
      <w:tcPr>
        <w:shd w:val="clear" w:color="FFFFFF" w:fill="F4B185" w:themeFill="accent2" w:themeFillTint="97"/>
      </w:tcPr>
    </w:tblStylePr>
    <w:tblStylePr w:type="lastRow">
      <w:rPr>
        <w:sz w:val="22"/>
      </w:rPr>
      <w:tblPr/>
      <w:tcPr>
        <w:shd w:val="clear" w:color="FFFFFF" w:fill="F4B185" w:themeFill="accent2" w:themeFillTint="97"/>
      </w:tcPr>
    </w:tblStylePr>
  </w:style>
  <w:style w:type="table" w:styleId="862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</w:style>
  <w:style w:type="table" w:styleId="863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EF2CB" w:themeFill="accent4" w:themeFillTint="34"/>
      </w:tcPr>
    </w:tblStylePr>
    <w:tblStylePr w:type="band2Vert">
      <w:rPr>
        <w:sz w:val="22"/>
      </w:rPr>
      <w:tblPr/>
      <w:tcPr>
        <w:shd w:val="clear" w:color="FFFFFF" w:fill="FEF2CB" w:themeFill="accent4" w:themeFillTint="34"/>
      </w:tcPr>
    </w:tblStylePr>
    <w:tblStylePr w:type="firstCol">
      <w:rPr>
        <w:sz w:val="22"/>
      </w:rPr>
      <w:tblPr/>
      <w:tcPr>
        <w:shd w:val="clear" w:color="FFFFFF" w:fill="FFD864" w:themeFill="accent4" w:themeFillTint="9a"/>
      </w:tcPr>
    </w:tblStylePr>
    <w:tblStylePr w:type="firstRow">
      <w:rPr>
        <w:sz w:val="22"/>
      </w:rPr>
      <w:tblPr/>
      <w:tcPr>
        <w:shd w:val="clear" w:color="FFFFFF" w:fill="FFD864" w:themeFill="accent4" w:themeFillTint="9a"/>
      </w:tcPr>
    </w:tblStylePr>
    <w:tblStylePr w:type="lastCol">
      <w:rPr>
        <w:sz w:val="22"/>
      </w:rPr>
      <w:tblPr/>
      <w:tcPr>
        <w:shd w:val="clear" w:color="FFFFFF" w:fill="FFD864" w:themeFill="accent4" w:themeFillTint="9a"/>
      </w:tcPr>
    </w:tblStylePr>
    <w:tblStylePr w:type="lastRow">
      <w:rPr>
        <w:sz w:val="22"/>
      </w:rPr>
      <w:tblPr/>
      <w:tcPr>
        <w:shd w:val="clear" w:color="FFFFFF" w:fill="FFD864" w:themeFill="accent4" w:themeFillTint="9a"/>
      </w:tcPr>
    </w:tblStylePr>
  </w:style>
  <w:style w:type="table" w:styleId="864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9E2F2" w:themeFill="accent5" w:themeFillTint="34"/>
      </w:tcPr>
    </w:tblStylePr>
    <w:tblStylePr w:type="band2Vert">
      <w:rPr>
        <w:sz w:val="22"/>
      </w:rPr>
      <w:tblPr/>
      <w:tcPr>
        <w:shd w:val="clear" w:color="FFFFFF" w:fill="D9E2F2" w:themeFill="accent5" w:themeFillTint="34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</w:style>
  <w:style w:type="table" w:styleId="865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8" w:themeFill="accent6" w:themeFillTint="34"/>
      </w:tcPr>
    </w:tblStylePr>
    <w:tblStylePr w:type="band2Vert">
      <w:rPr>
        <w:sz w:val="22"/>
      </w:rPr>
      <w:tblPr/>
      <w:tcPr>
        <w:shd w:val="clear" w:color="FFFFFF" w:fill="E2EFD8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</w:style>
  <w:style w:type="table" w:styleId="866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67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68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69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70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71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72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73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63501&amp;dst=100009" TargetMode="External"/><Relationship Id="rId3" Type="http://schemas.openxmlformats.org/officeDocument/2006/relationships/hyperlink" Target="https://login.consultant.ru/link/?req=doc&amp;base=LAW&amp;n=463501&amp;dst=100009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LibreOffice/25.8.4.2$Linux_X86_64 LibreOffice_project/580$Build-2</Application>
  <AppVersion>15.0000</AppVersion>
  <Pages>6</Pages>
  <Words>1636</Words>
  <Characters>11470</Characters>
  <CharactersWithSpaces>13255</CharactersWithSpaces>
  <Paragraphs>92</Paragraphs>
  <Company>КонсультантПлюс Версия 4023.00.52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2025-12-18T06:12:00Z</dcterms:created>
  <dc:creator>Раскина Анна Витальевна</dc:creator>
  <dc:description/>
  <dc:language>ru-RU</dc:language>
  <cp:lastModifiedBy/>
  <cp:lastPrinted>2026-09-28T10:11:36Z</cp:lastPrinted>
  <dcterms:modified xsi:type="dcterms:W3CDTF">2026-09-28T10:11:39Z</dcterms:modified>
  <cp:revision>70</cp:revision>
  <dc:subject/>
  <dc:title>Закон Приморского края от 29.12.2004 N 206-КЗ(ред. от 03.10.2023)"О социальной поддержке льготных категорий граждан, проживающих на территории Приморского края"(принят Законодательным Собранием Приморского края 22.12.2004)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