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360"/>
        <w:ind w:right="23"/>
        <w:jc w:val="center"/>
        <w:rPr>
          <w:highlight w:val="none"/>
          <w:shd w:fill="auto" w:val="clear"/>
        </w:rPr>
      </w:pPr>
      <w:r>
        <w:rPr>
          <w:rFonts w:cs="PT Astra Serif" w:ascii="Times New Roman" w:hAnsi="Times New Roman"/>
          <w:b/>
          <w:bCs/>
          <w:color w:val="000000"/>
          <w:spacing w:val="2"/>
          <w:sz w:val="28"/>
          <w:szCs w:val="28"/>
          <w:shd w:fill="auto" w:val="clear"/>
        </w:rPr>
        <w:t>ПОЯСНИТЕЛЬНАЯ ЗАПИСКА</w:t>
      </w:r>
    </w:p>
    <w:p>
      <w:pPr>
        <w:pStyle w:val="Normal"/>
        <w:spacing w:lineRule="auto" w:line="240"/>
        <w:ind w:hanging="0" w:left="0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к проекту закона Приморского края </w:t>
      </w:r>
    </w:p>
    <w:p>
      <w:pPr>
        <w:pStyle w:val="Normal"/>
        <w:spacing w:lineRule="auto" w:line="24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«О внесении изменений в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статью 6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vertAlign w:val="superscript"/>
          <w:lang w:val="ru-RU"/>
        </w:rPr>
        <w:t>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 xml:space="preserve"> Закона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Приморского края </w:t>
      </w:r>
    </w:p>
    <w:p>
      <w:pPr>
        <w:pStyle w:val="Normal"/>
        <w:spacing w:lineRule="auto" w:line="24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«О защите прав ребенка в Приморском крае</w:t>
      </w:r>
      <w:r>
        <w:rPr>
          <w:rFonts w:ascii="Times New Roman" w:hAnsi="Times New Roman"/>
          <w:b w:val="false"/>
          <w:bCs w:val="false"/>
          <w:sz w:val="28"/>
          <w:szCs w:val="28"/>
          <w:lang w:eastAsia="zh-CN"/>
        </w:rPr>
        <w:t>»</w:t>
      </w:r>
    </w:p>
    <w:p>
      <w:pPr>
        <w:pStyle w:val="ConsPlusTitle"/>
        <w:spacing w:lineRule="auto" w:line="240"/>
        <w:ind w:firstLine="709"/>
        <w:jc w:val="center"/>
        <w:rPr>
          <w:rFonts w:ascii="Times New Roman" w:hAnsi="Times New Roman" w:eastAsia="PT Astra Serif" w:cs="Times New Roman"/>
          <w:b w:val="false"/>
          <w:bCs w:val="false"/>
          <w:sz w:val="28"/>
          <w:szCs w:val="28"/>
          <w:shd w:fill="auto" w:val="clear"/>
          <w:lang w:eastAsia="ar-SA"/>
        </w:rPr>
      </w:pPr>
      <w:r>
        <w:rPr>
          <w:rFonts w:eastAsia="PT Astra Serif" w:cs="Times New Roman" w:ascii="Times New Roman" w:hAnsi="Times New Roman"/>
          <w:b w:val="false"/>
          <w:bCs w:val="false"/>
          <w:sz w:val="28"/>
          <w:szCs w:val="28"/>
          <w:shd w:fill="auto" w:val="clear"/>
          <w:lang w:eastAsia="ar-SA"/>
        </w:rPr>
      </w:r>
    </w:p>
    <w:p>
      <w:pPr>
        <w:pStyle w:val="ConsPlusTitle"/>
        <w:spacing w:lineRule="auto" w:line="240"/>
        <w:ind w:firstLine="709"/>
        <w:jc w:val="center"/>
        <w:rPr>
          <w:rFonts w:ascii="Times New Roman" w:hAnsi="Times New Roman" w:eastAsia="PT Astra Serif" w:cs="Times New Roman"/>
          <w:b w:val="false"/>
          <w:bCs w:val="false"/>
          <w:sz w:val="28"/>
          <w:szCs w:val="28"/>
          <w:shd w:fill="auto" w:val="clear"/>
          <w:lang w:eastAsia="ar-SA"/>
        </w:rPr>
      </w:pPr>
      <w:r>
        <w:rPr>
          <w:rFonts w:eastAsia="PT Astra Serif" w:cs="Times New Roman" w:ascii="Times New Roman" w:hAnsi="Times New Roman"/>
          <w:b w:val="false"/>
          <w:bCs w:val="false"/>
          <w:sz w:val="28"/>
          <w:szCs w:val="28"/>
          <w:shd w:fill="auto" w:val="clear"/>
          <w:lang w:eastAsia="ar-SA"/>
        </w:rPr>
      </w:r>
    </w:p>
    <w:p>
      <w:pPr>
        <w:pStyle w:val="ConsPlusTitle"/>
        <w:spacing w:lineRule="auto" w:line="240"/>
        <w:ind w:firstLine="709"/>
        <w:jc w:val="center"/>
        <w:rPr>
          <w:rFonts w:ascii="Times New Roman" w:hAnsi="Times New Roman" w:eastAsia="PT Astra Serif" w:cs="Times New Roman"/>
          <w:b w:val="false"/>
          <w:bCs w:val="false"/>
          <w:sz w:val="28"/>
          <w:szCs w:val="28"/>
          <w:shd w:fill="auto" w:val="clear"/>
          <w:lang w:eastAsia="ar-SA"/>
        </w:rPr>
      </w:pPr>
      <w:r>
        <w:rPr>
          <w:rFonts w:cs="Times New Roman" w:ascii="Times New Roman" w:hAnsi="Times New Roman"/>
          <w:b/>
          <w:color w:val="000000"/>
          <w:spacing w:val="1"/>
          <w:sz w:val="28"/>
          <w:szCs w:val="28"/>
          <w:shd w:fill="auto" w:val="clear"/>
        </w:rPr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Проект закона Приморского края </w:t>
      </w:r>
      <w:r>
        <w:rPr>
          <w:rFonts w:ascii="Times New Roman" w:hAnsi="Times New Roman"/>
          <w:b w:val="false"/>
          <w:bCs w:val="false"/>
          <w:sz w:val="28"/>
          <w:szCs w:val="28"/>
          <w:lang w:eastAsia="en-US"/>
        </w:rPr>
        <w:t xml:space="preserve">«О внесении изменений в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en-US"/>
        </w:rPr>
        <w:t>статью 6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vertAlign w:val="superscript"/>
          <w:lang w:val="ru-RU" w:eastAsia="en-US"/>
        </w:rPr>
        <w:t xml:space="preserve">2            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en-US"/>
        </w:rPr>
        <w:t xml:space="preserve"> Закона </w:t>
      </w:r>
      <w:r>
        <w:rPr>
          <w:rFonts w:ascii="Times New Roman" w:hAnsi="Times New Roman"/>
          <w:b w:val="false"/>
          <w:bCs w:val="false"/>
          <w:sz w:val="28"/>
          <w:szCs w:val="28"/>
          <w:lang w:eastAsia="en-US"/>
        </w:rPr>
        <w:t xml:space="preserve">Приморского края «О защите прав ребенка 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lang w:eastAsia="en-US"/>
        </w:rPr>
        <w:t>в Приморском крае</w:t>
      </w:r>
      <w:r>
        <w:rPr>
          <w:rFonts w:ascii="Times New Roman" w:hAnsi="Times New Roman"/>
          <w:b w:val="false"/>
          <w:bCs w:val="false"/>
          <w:sz w:val="28"/>
          <w:szCs w:val="28"/>
          <w:lang w:eastAsia="en-US"/>
        </w:rPr>
        <w:t>»»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(далее - законопроект) подготовлен в целях оптимизации мер социальной поддержки граждан, финансовое обеспечение которых осуществляется за счет средств краевого бюджета в соответствии с распоряжением Правительства Приморского края </w:t>
      </w:r>
      <w:r>
        <w:rPr>
          <w:rFonts w:ascii="Times New Roman" w:hAnsi="Times New Roman"/>
          <w:b w:val="false"/>
          <w:bCs w:val="false"/>
          <w:sz w:val="28"/>
          <w:szCs w:val="28"/>
          <w:lang w:eastAsia="ru-RU"/>
        </w:rPr>
        <w:t>от 1 апреля 2024 года № 196-рп «Об утверждении плана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краевого бюджета Приморского края, в том числе предусматривающего мероприятия по исключению дублирования мер, обеспечение которых осуществляется за счет средств федерального бюджета».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sz w:val="28"/>
          <w:szCs w:val="28"/>
        </w:rPr>
        <w:t>С 27.04.2022 детям-инвалидам, инвалидам с детства, обучающимися по очной форме обучения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а также детям, не достигшим возраста 18 лет, и детям, обучающимся по очной форме обучения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>зраста 23 лет, которым установлена страховая пенсия по случаю потери кормильца,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u w:val="single"/>
          <w:shd w:fill="auto" w:val="clear"/>
        </w:rPr>
        <w:t>предоставлено</w:t>
      </w:r>
      <w:r>
        <w:rPr>
          <w:rStyle w:val="Strong"/>
          <w:rFonts w:ascii="Times New Roman" w:hAnsi="Times New Roman"/>
          <w:b w:val="false"/>
          <w:bCs w:val="false"/>
          <w:i w:val="false"/>
          <w:iCs w:val="false"/>
          <w:sz w:val="28"/>
          <w:szCs w:val="28"/>
          <w:u w:val="single"/>
          <w:shd w:fill="auto" w:val="clear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i w:val="false"/>
          <w:iCs w:val="false"/>
          <w:sz w:val="28"/>
          <w:szCs w:val="28"/>
          <w:u w:val="single"/>
          <w:shd w:fill="auto" w:val="clear"/>
        </w:rPr>
        <w:t xml:space="preserve">право на получение региональной социальной доплаты к пенсии в период временного трудоустройства </w:t>
      </w:r>
      <w:r>
        <w:rPr>
          <w:rStyle w:val="Strong"/>
          <w:rFonts w:ascii="Times New Roman" w:hAnsi="Times New Roman"/>
          <w:b w:val="false"/>
          <w:bCs w:val="false"/>
          <w:i w:val="false"/>
          <w:iCs w:val="false"/>
          <w:sz w:val="28"/>
          <w:szCs w:val="28"/>
          <w:shd w:fill="auto" w:val="clear"/>
        </w:rPr>
        <w:t xml:space="preserve">(в случае трудоустройства по направлению государственной службы занятости в 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>свободное от учебы время, периодов участия в общественных работах по направлению государственной службы занятости и периодов получения ими выплат за деятельность, осуществляемую в студенческих отрядах по трудовым договорам  в каникулярное время) (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>статья 12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  <w:vertAlign w:val="superscript"/>
        </w:rPr>
        <w:t>1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 xml:space="preserve"> Федерального закона от 17.07.1999 № 178-ФЗ)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. 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 xml:space="preserve">Согласно 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 xml:space="preserve">статье </w:t>
      </w:r>
      <w:r>
        <w:rPr>
          <w:rStyle w:val="Strong"/>
          <w:rFonts w:cs="Times New Roman" w:ascii="Times New Roman" w:hAnsi="Times New Roman"/>
          <w:b w:val="false"/>
          <w:bCs/>
          <w:color w:val="000000"/>
          <w:sz w:val="28"/>
          <w:szCs w:val="28"/>
          <w:u w:val="none"/>
          <w:shd w:fill="auto" w:val="clear"/>
        </w:rPr>
        <w:t>6</w:t>
      </w:r>
      <w:r>
        <w:rPr>
          <w:rStyle w:val="Strong"/>
          <w:rFonts w:cs="Times New Roman" w:ascii="Times New Roman" w:hAnsi="Times New Roman"/>
          <w:b w:val="false"/>
          <w:bCs/>
          <w:color w:val="000000"/>
          <w:sz w:val="28"/>
          <w:szCs w:val="28"/>
          <w:u w:val="none"/>
          <w:shd w:fill="auto" w:val="clear"/>
          <w:vertAlign w:val="superscript"/>
        </w:rPr>
        <w:t>2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 xml:space="preserve"> </w:t>
      </w:r>
      <w:r>
        <w:rPr>
          <w:rStyle w:val="Hyperlink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 xml:space="preserve">Закона 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 xml:space="preserve">№ 217-КЗ «О защите прав ребенка в Приморском крае»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>детям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, не достигшим возраста 18 лет, а также детям, обучающимся по очной форме обучения по основным образовательным программам в организациях, осуществляющих образовательную деятельность, до окончания ими такого обучения, но не дольше чем до достижения ими возраста 23 лет, которым установлена региональная социальная доплата к пенсии, </w:t>
      </w:r>
      <w:r>
        <w:rPr>
          <w:rFonts w:ascii="Times New Roman" w:hAnsi="Times New Roman"/>
          <w:b w:val="false"/>
          <w:bCs w:val="false"/>
          <w:sz w:val="28"/>
          <w:szCs w:val="28"/>
          <w:u w:val="single"/>
          <w:shd w:fill="auto" w:val="clear"/>
        </w:rPr>
        <w:t>осуществляющим трудовую деятельность самостоятельно</w:t>
      </w: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 в свободное от учебы время (далее - школьники и студенты, из числа получателей РСД), предоставляется дополнительная мера социальной поддержки в виде социальной выплаты. </w:t>
      </w:r>
    </w:p>
    <w:p>
      <w:pPr>
        <w:pStyle w:val="Normal"/>
        <w:spacing w:lineRule="auto" w:line="360"/>
        <w:ind w:firstLine="709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  <w:t>При этом социальная выплата устанавливается в таком размере, чтобы общая сумма материального обеспечения получателя региональной социальной доплаты в период осуществления трудовой деятельности достигла величины прожиточного минимума пенсионера, установленного в соответствии с пунктом 3 статьи 4 Федерального закона от 24.10.1997 № 134-ФЗ «О прожиточном минимуме в Российской Федерации», в Приморском крае.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Таким образом, школьникам и студентам, из числа получателей РСД,              в случае самостоятельного трудоустройства (без участия государственной службы занятости) предоставляется социальная выплата, которая по своей природе аналогична РСД. 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 xml:space="preserve">Учитывая, что социальная выплата фактически дублирует меру поддержки, предусмотренную Федеральным законом от 17.07.1999 № 178-ФЗ   «О государственной социальной помощи» (ст.12.1) и законом Приморского края 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  <w:lang w:eastAsia="ru-RU"/>
        </w:rPr>
        <w:t xml:space="preserve">от 06.06.2005 № 255-КЗ 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>«О государственной социальной помощи в Приморском крае» (ст.9.1) законопроектом предлагается ограничить: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 xml:space="preserve">срок обращения за выплатой путем введения дополнительного условия  -  </w:t>
      </w:r>
      <w:r>
        <w:rPr>
          <w:rStyle w:val="Strong"/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>обращение за предоставлением социальной выплатой последовало не позднее 31 декабря 2026 года;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Style w:val="Strong"/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shd w:fill="auto" w:val="clear"/>
        </w:rPr>
        <w:t>срок предоставления выплаты - до 31.12.2027.</w:t>
      </w:r>
    </w:p>
    <w:p>
      <w:pPr>
        <w:pStyle w:val="Normal"/>
        <w:spacing w:lineRule="auto" w:line="360"/>
        <w:ind w:firstLine="709"/>
        <w:jc w:val="both"/>
        <w:rPr>
          <w:highlight w:val="yellow"/>
          <w:u w:val="none"/>
        </w:rPr>
      </w:pP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>После принятия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 законопроекта школьники и студенты из числа получателей РСД 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могут трудоустраиваться 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>по направлению государственной службы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 xml:space="preserve">занятости, 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shd w:fill="auto" w:val="clear"/>
        </w:rPr>
        <w:t>тем самым сохранив свое право на получение</w:t>
      </w:r>
      <w:r>
        <w:rPr>
          <w:rStyle w:val="Strong"/>
          <w:rFonts w:ascii="Times New Roman" w:hAnsi="Times New Roman"/>
          <w:b w:val="false"/>
          <w:bCs w:val="false"/>
          <w:sz w:val="28"/>
          <w:szCs w:val="28"/>
          <w:u w:val="none"/>
          <w:shd w:fill="auto" w:val="clear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shd w:fill="auto" w:val="clear"/>
        </w:rPr>
        <w:t>региональной социальной доплаты к пенсии в период временного трудоустройства.</w:t>
      </w:r>
    </w:p>
    <w:p>
      <w:pPr>
        <w:pStyle w:val="ConsPlusTitle"/>
        <w:spacing w:lineRule="auto" w:line="240"/>
        <w:ind w:firstLine="709"/>
        <w:jc w:val="both"/>
        <w:rPr>
          <w:rFonts w:ascii="Times New Roman" w:hAnsi="Times New Roman" w:eastAsia="PT Astra Serif" w:cs="Times New Roman"/>
          <w:b w:val="false"/>
          <w:bCs w:val="false"/>
          <w:color w:val="000000"/>
          <w:spacing w:val="1"/>
          <w:sz w:val="28"/>
          <w:szCs w:val="28"/>
          <w:lang w:eastAsia="ar-SA"/>
        </w:rPr>
      </w:pP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lang w:eastAsia="ar-SA"/>
        </w:rPr>
      </w:r>
    </w:p>
    <w:p>
      <w:pPr>
        <w:pStyle w:val="ConsPlusTitle"/>
        <w:spacing w:lineRule="auto" w:line="240"/>
        <w:ind w:firstLine="709"/>
        <w:jc w:val="both"/>
        <w:rPr>
          <w:rFonts w:ascii="Times New Roman" w:hAnsi="Times New Roman" w:eastAsia="PT Astra Serif" w:cs="Times New Roman"/>
          <w:b w:val="false"/>
          <w:bCs w:val="false"/>
          <w:color w:val="000000"/>
          <w:spacing w:val="1"/>
          <w:sz w:val="28"/>
          <w:szCs w:val="28"/>
          <w:lang w:eastAsia="ar-SA"/>
        </w:rPr>
      </w:pP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lang w:eastAsia="ar-SA"/>
        </w:rPr>
      </w:r>
    </w:p>
    <w:p>
      <w:pPr>
        <w:pStyle w:val="ConsPlusTitle"/>
        <w:spacing w:lineRule="auto" w:line="240"/>
        <w:ind w:firstLine="709"/>
        <w:jc w:val="both"/>
        <w:rPr>
          <w:rFonts w:ascii="Times New Roman" w:hAnsi="Times New Roman" w:eastAsia="PT Astra Serif" w:cs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</w:pP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</w:r>
    </w:p>
    <w:tbl>
      <w:tblPr>
        <w:tblW w:w="9555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146"/>
        <w:gridCol w:w="4409"/>
      </w:tblGrid>
      <w:tr>
        <w:trPr/>
        <w:tc>
          <w:tcPr>
            <w:tcW w:w="5146" w:type="dxa"/>
            <w:tcBorders/>
            <w:shd w:color="auto" w:fill="auto" w:val="clear"/>
          </w:tcPr>
          <w:p>
            <w:pPr>
              <w:pStyle w:val="ConsTitle"/>
              <w:widowControl w:val="false"/>
              <w:ind w:right="0"/>
              <w:jc w:val="center"/>
              <w:rPr/>
            </w:pPr>
            <w:r>
              <w:rPr>
                <w:rStyle w:val="Hyperlink"/>
                <w:rFonts w:cs="PT Astra Serif" w:ascii="Times New Roman" w:hAnsi="Times New Roman"/>
                <w:b w:val="false"/>
                <w:color w:val="000000"/>
                <w:sz w:val="28"/>
                <w:szCs w:val="28"/>
                <w:u w:val="none"/>
                <w:shd w:fill="auto" w:val="clear"/>
              </w:rPr>
              <w:t>Министр труда и социальной политики Приморского края</w:t>
            </w:r>
          </w:p>
        </w:tc>
        <w:tc>
          <w:tcPr>
            <w:tcW w:w="4409" w:type="dxa"/>
            <w:tcBorders/>
            <w:shd w:color="auto" w:fill="auto" w:val="clear"/>
          </w:tcPr>
          <w:p>
            <w:pPr>
              <w:pStyle w:val="Normal"/>
              <w:jc w:val="right"/>
              <w:rPr>
                <w:rFonts w:ascii="Times New Roman" w:hAnsi="Times New Roman" w:cs="PT Astra Serif"/>
                <w:color w:val="000000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PT Astra Serif" w:ascii="Times New Roman" w:hAnsi="Times New Roman"/>
                <w:color w:val="000000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jc w:val="right"/>
              <w:rPr>
                <w:highlight w:val="none"/>
                <w:shd w:fill="auto" w:val="clear"/>
              </w:rPr>
            </w:pPr>
            <w:r>
              <w:rPr>
                <w:rFonts w:cs="PT Astra Serif" w:ascii="Times New Roman" w:hAnsi="Times New Roman"/>
                <w:sz w:val="28"/>
                <w:szCs w:val="28"/>
                <w:shd w:fill="auto" w:val="clear"/>
              </w:rPr>
              <w:t>С.В. Красицкая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sz w:val="28"/>
          <w:szCs w:val="28"/>
          <w:shd w:fill="auto" w:val="clear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285" w:top="851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NTTimes/Cyrillic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3</w:t>
    </w:r>
    <w:r>
      <w:rPr>
        <w:sz w:val="28"/>
        <w:szCs w:val="28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ucida San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false"/>
      <w:bidi w:val="0"/>
      <w:spacing w:before="0" w:after="0"/>
      <w:jc w:val="left"/>
    </w:pPr>
    <w:rPr>
      <w:rFonts w:ascii="NTTimes/Cyrillic" w:hAnsi="NTTimes/Cyrillic" w:eastAsia="Times New Roman" w:cs="NTTimes/Cyrillic"/>
      <w:color w:val="auto"/>
      <w:kern w:val="0"/>
      <w:sz w:val="24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spacing w:lineRule="exact" w:line="280" w:before="120" w:after="0"/>
      <w:jc w:val="center"/>
      <w:outlineLvl w:val="0"/>
    </w:pPr>
    <w:rPr>
      <w:rFonts w:ascii="Times New Roman" w:hAnsi="Times New Roman" w:cs="Times New Roman"/>
      <w:b/>
      <w:sz w:val="28"/>
    </w:rPr>
  </w:style>
  <w:style w:type="paragraph" w:styleId="Heading2">
    <w:name w:val="heading 2"/>
    <w:basedOn w:val="Normal"/>
    <w:next w:val="Normal"/>
    <w:qFormat/>
    <w:pPr>
      <w:keepNext w:val="true"/>
      <w:spacing w:lineRule="exact" w:line="240"/>
      <w:jc w:val="center"/>
      <w:outlineLvl w:val="1"/>
    </w:pPr>
    <w:rPr>
      <w:rFonts w:ascii="Times New Roman" w:hAnsi="Times New Roman" w:cs="Times New Roman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1" w:customStyle="1">
    <w:name w:val="Основной шрифт абзаца1"/>
    <w:qFormat/>
    <w:rPr/>
  </w:style>
  <w:style w:type="character" w:styleId="WW-" w:customStyle="1">
    <w:name w:val="WW-Основной шрифт абзаца"/>
    <w:qFormat/>
    <w:rPr>
      <w:sz w:val="20"/>
    </w:rPr>
  </w:style>
  <w:style w:type="character" w:styleId="Hyperlink">
    <w:name w:val="Hyperlink"/>
    <w:rPr>
      <w:color w:val="0000FF"/>
      <w:sz w:val="20"/>
      <w:u w:val="single"/>
    </w:rPr>
  </w:style>
  <w:style w:type="character" w:styleId="FollowedHyperlink">
    <w:name w:val="FollowedHyperlink"/>
    <w:rPr>
      <w:color w:val="800080"/>
      <w:sz w:val="20"/>
      <w:u w:val="single"/>
    </w:rPr>
  </w:style>
  <w:style w:type="character" w:styleId="PageNumber">
    <w:name w:val="page number"/>
    <w:basedOn w:val="1"/>
    <w:qFormat/>
    <w:rPr/>
  </w:style>
  <w:style w:type="character" w:styleId="Style7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2" w:customStyle="1">
    <w:name w:val="Основной текст 2 Знак"/>
    <w:qFormat/>
    <w:rPr>
      <w:rFonts w:ascii="NTTimes/Cyrillic" w:hAnsi="NTTimes/Cyrillic" w:cs="NTTimes/Cyrillic"/>
      <w:sz w:val="24"/>
    </w:rPr>
  </w:style>
  <w:style w:type="character" w:styleId="Style8" w:customStyle="1">
    <w:name w:val="Верхний колонтитул Знак"/>
    <w:uiPriority w:val="99"/>
    <w:qFormat/>
    <w:rPr>
      <w:rFonts w:ascii="NTTimes/Cyrillic" w:hAnsi="NTTimes/Cyrillic" w:cs="NTTimes/Cyrillic"/>
      <w:sz w:val="24"/>
    </w:rPr>
  </w:style>
  <w:style w:type="character" w:styleId="21" w:customStyle="1">
    <w:name w:val="Основной текст с отступом 2 Знак"/>
    <w:qFormat/>
    <w:rPr>
      <w:rFonts w:ascii="NTTimes/Cyrillic" w:hAnsi="NTTimes/Cyrillic" w:cs="NTTimes/Cyrillic"/>
      <w:sz w:val="24"/>
    </w:rPr>
  </w:style>
  <w:style w:type="character" w:styleId="apple-converted-space" w:customStyle="1">
    <w:name w:val="apple-converted-space"/>
    <w:qFormat/>
    <w:rPr/>
  </w:style>
  <w:style w:type="character" w:styleId="11" w:customStyle="1">
    <w:name w:val="Знак примечания1"/>
    <w:qFormat/>
    <w:rPr>
      <w:sz w:val="16"/>
      <w:szCs w:val="16"/>
    </w:rPr>
  </w:style>
  <w:style w:type="character" w:styleId="Style9" w:customStyle="1">
    <w:name w:val="Текст примечания Знак"/>
    <w:qFormat/>
    <w:rPr>
      <w:rFonts w:ascii="NTTimes/Cyrillic" w:hAnsi="NTTimes/Cyrillic" w:cs="NTTimes/Cyrillic"/>
    </w:rPr>
  </w:style>
  <w:style w:type="character" w:styleId="Style10" w:customStyle="1">
    <w:name w:val="Тема примечания Знак"/>
    <w:qFormat/>
    <w:rPr>
      <w:rFonts w:ascii="NTTimes/Cyrillic" w:hAnsi="NTTimes/Cyrillic" w:cs="NTTimes/Cyrillic"/>
      <w:b/>
      <w:bCs/>
    </w:rPr>
  </w:style>
  <w:style w:type="character" w:styleId="Strong">
    <w:name w:val="Strong"/>
    <w:qFormat/>
    <w:rPr>
      <w:b/>
      <w:bCs/>
    </w:rPr>
  </w:style>
  <w:style w:type="paragraph" w:styleId="Style11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exact" w:line="280"/>
      <w:jc w:val="center"/>
    </w:pPr>
    <w:rPr>
      <w:rFonts w:ascii="Times New Roman" w:hAnsi="Times New Roman" w:cs="Times New Roman"/>
      <w:b/>
      <w:sz w:val="22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link w:val="CaptionChar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12" w:customStyle="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Lucida Sans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3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pPr>
      <w:widowControl/>
      <w:spacing w:lineRule="auto" w:line="360"/>
      <w:ind w:firstLine="709"/>
      <w:jc w:val="both"/>
    </w:pPr>
    <w:rPr>
      <w:sz w:val="26"/>
    </w:rPr>
  </w:style>
  <w:style w:type="paragraph" w:styleId="Style13" w:customStyle="1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4" w:customStyle="1">
    <w:name w:val="Колонтитул"/>
    <w:basedOn w:val="Normal"/>
    <w:qFormat/>
    <w:pPr/>
    <w:rPr/>
  </w:style>
  <w:style w:type="paragraph" w:styleId="user2" w:customStyle="1">
    <w:name w:val="Колонтитулы (user)"/>
    <w:basedOn w:val="Normal"/>
    <w:qFormat/>
    <w:pPr/>
    <w:rPr/>
  </w:style>
  <w:style w:type="paragraph" w:styleId="Style15" w:customStyle="1">
    <w:name w:val="Колонтитулы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uiPriority w:val="9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 w:customStyle="1">
    <w:name w:val="Основной текст 21"/>
    <w:basedOn w:val="Normal"/>
    <w:qFormat/>
    <w:pPr>
      <w:spacing w:lineRule="auto" w:line="480" w:before="0" w:after="120"/>
    </w:pPr>
    <w:rPr/>
  </w:style>
  <w:style w:type="paragraph" w:styleId="ConsPlusNormal" w:customStyle="1">
    <w:name w:val="ConsPlusNormal"/>
    <w:qFormat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22" w:customStyle="1">
    <w:name w:val="Основной текст с отступом 22"/>
    <w:basedOn w:val="Normal"/>
    <w:qFormat/>
    <w:pPr>
      <w:spacing w:lineRule="auto" w:line="480" w:before="0" w:after="120"/>
      <w:ind w:left="283"/>
    </w:pPr>
    <w:rPr/>
  </w:style>
  <w:style w:type="paragraph" w:styleId="NormalWeb">
    <w:name w:val="Normal (Web)"/>
    <w:basedOn w:val="Normal"/>
    <w:qFormat/>
    <w:pPr>
      <w:widowControl/>
      <w:spacing w:before="100" w:after="119"/>
    </w:pPr>
    <w:rPr>
      <w:rFonts w:ascii="Times New Roman" w:hAnsi="Times New Roman" w:cs="Times New Roman"/>
      <w:szCs w:val="24"/>
    </w:rPr>
  </w:style>
  <w:style w:type="paragraph" w:styleId="14" w:customStyle="1">
    <w:name w:val="Обычный (веб)1"/>
    <w:basedOn w:val="Normal"/>
    <w:qFormat/>
    <w:pPr>
      <w:spacing w:before="100" w:after="100"/>
    </w:pPr>
    <w:rPr>
      <w:rFonts w:ascii="Times New Roman" w:hAnsi="Times New Roman" w:cs="Times New Roman"/>
      <w:szCs w:val="24"/>
      <w:lang w:bidi="hi-IN"/>
    </w:rPr>
  </w:style>
  <w:style w:type="paragraph" w:styleId="212" w:customStyle="1">
    <w:name w:val="Основной текст с отступом 21"/>
    <w:basedOn w:val="Normal"/>
    <w:qFormat/>
    <w:pPr>
      <w:spacing w:lineRule="auto" w:line="480" w:before="0" w:after="120"/>
      <w:ind w:left="283"/>
    </w:pPr>
    <w:rPr/>
  </w:style>
  <w:style w:type="paragraph" w:styleId="NoSpacing">
    <w:name w:val="No Spacing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ConsPlusTitle" w:customStyle="1">
    <w:name w:val="ConsPlusTitle"/>
    <w:qFormat/>
    <w:pPr>
      <w:widowControl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15" w:customStyle="1">
    <w:name w:val="Текст примечания1"/>
    <w:basedOn w:val="Normal"/>
    <w:qFormat/>
    <w:pPr/>
    <w:rPr>
      <w:sz w:val="20"/>
    </w:rPr>
  </w:style>
  <w:style w:type="paragraph" w:styleId="annotationsubject">
    <w:name w:val="annotation subject"/>
    <w:basedOn w:val="15"/>
    <w:next w:val="15"/>
    <w:qFormat/>
    <w:pPr/>
    <w:rPr>
      <w:b/>
      <w:bCs/>
    </w:rPr>
  </w:style>
  <w:style w:type="paragraph" w:styleId="Style16" w:customStyle="1">
    <w:name w:val="Содержимое таблицы"/>
    <w:basedOn w:val="Normal"/>
    <w:qFormat/>
    <w:pPr>
      <w:suppressLineNumbers/>
    </w:pPr>
    <w:rPr/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paragraph" w:styleId="ConsTitle" w:customStyle="1">
    <w:name w:val="ConsTitle"/>
    <w:qFormat/>
    <w:pPr>
      <w:widowControl/>
      <w:bidi w:val="0"/>
      <w:spacing w:before="0" w:after="0"/>
      <w:ind w:right="19772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numbering" w:styleId="Style18" w:default="1">
    <w:name w:val="Без списка"/>
    <w:uiPriority w:val="99"/>
    <w:semiHidden/>
    <w:unhideWhenUsed/>
    <w:qFormat/>
  </w:style>
  <w:style w:type="table" w:styleId="721">
    <w:name w:val="Table Grid"/>
    <w:basedOn w:val="92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Table Grid Light"/>
    <w:basedOn w:val="92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92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24">
    <w:name w:val="Plain Table 2"/>
    <w:basedOn w:val="92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25">
    <w:name w:val="Plain Table 3"/>
    <w:basedOn w:val="92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26">
    <w:name w:val="Plain Table 4"/>
    <w:basedOn w:val="92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7">
    <w:name w:val="Plain Table 5"/>
    <w:basedOn w:val="92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8">
    <w:name w:val="Grid Table 1 Light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9">
    <w:name w:val="Grid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0">
    <w:name w:val="Grid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1">
    <w:name w:val="Grid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2">
    <w:name w:val="Grid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3">
    <w:name w:val="Grid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4">
    <w:name w:val="Grid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5">
    <w:name w:val="Grid Table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2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2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2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2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2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2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3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3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3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4"/>
    <w:basedOn w:val="92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92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51">
    <w:name w:val="Grid Table 4 - Accent 2"/>
    <w:basedOn w:val="92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52">
    <w:name w:val="Grid Table 4 - Accent 3"/>
    <w:basedOn w:val="92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53">
    <w:name w:val="Grid Table 4 - Accent 4"/>
    <w:basedOn w:val="92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54">
    <w:name w:val="Grid Table 4 - Accent 5"/>
    <w:basedOn w:val="92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92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57">
    <w:name w:val="Grid Table 5 Dark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758">
    <w:name w:val="Grid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759">
    <w:name w:val="Grid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760">
    <w:name w:val="Grid Table 5 Dark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761">
    <w:name w:val="Grid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762">
    <w:name w:val="Grid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763">
    <w:name w:val="Grid Table 6 Colorful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64">
    <w:name w:val="Grid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65">
    <w:name w:val="Grid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66">
    <w:name w:val="Grid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67">
    <w:name w:val="Grid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68">
    <w:name w:val="Grid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69">
    <w:name w:val="Grid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70">
    <w:name w:val="Grid Table 7 Colorful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1">
    <w:name w:val="Grid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2">
    <w:name w:val="Grid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3">
    <w:name w:val="Grid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4">
    <w:name w:val="Grid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5">
    <w:name w:val="Grid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6">
    <w:name w:val="Grid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7">
    <w:name w:val="List Table 1 Light"/>
    <w:basedOn w:val="92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92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92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92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92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92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92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91">
    <w:name w:val="List Table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2">
    <w:name w:val="List Table 3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3">
    <w:name w:val="List Table 3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4">
    <w:name w:val="List Table 3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5">
    <w:name w:val="List Table 3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6">
    <w:name w:val="List Table 3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7">
    <w:name w:val="List Table 3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8">
    <w:name w:val="List Table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9">
    <w:name w:val="List Table 4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0">
    <w:name w:val="List Table 4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1">
    <w:name w:val="List Table 4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2">
    <w:name w:val="List Table 4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3">
    <w:name w:val="List Table 4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4">
    <w:name w:val="List Table 4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5">
    <w:name w:val="List Table 5 Dark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6">
    <w:name w:val="List Table 5 Dark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7">
    <w:name w:val="List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8">
    <w:name w:val="List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9">
    <w:name w:val="List Table 5 Dark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0">
    <w:name w:val="List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1">
    <w:name w:val="List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2">
    <w:name w:val="List Table 6 Colorful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13">
    <w:name w:val="List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15">
    <w:name w:val="List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16">
    <w:name w:val="List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17">
    <w:name w:val="List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18">
    <w:name w:val="List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19">
    <w:name w:val="List Table 7 Colorful"/>
    <w:basedOn w:val="92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20">
    <w:name w:val="List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21">
    <w:name w:val="List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22">
    <w:name w:val="List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23">
    <w:name w:val="List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24">
    <w:name w:val="List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25">
    <w:name w:val="List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26">
    <w:name w:val="Lined - Accent"/>
    <w:basedOn w:val="925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27">
    <w:name w:val="Lined - Accent 1"/>
    <w:basedOn w:val="925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28">
    <w:name w:val="Lined - Accent 2"/>
    <w:basedOn w:val="925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29">
    <w:name w:val="Lined - Accent 3"/>
    <w:basedOn w:val="925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30">
    <w:name w:val="Lined - Accent 4"/>
    <w:basedOn w:val="925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31">
    <w:name w:val="Lined - Accent 5"/>
    <w:basedOn w:val="925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32">
    <w:name w:val="Lined - Accent 6"/>
    <w:basedOn w:val="925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33">
    <w:name w:val="Bordered &amp; Lined - Accent"/>
    <w:basedOn w:val="92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34">
    <w:name w:val="Bordered &amp; Lined - Accent 1"/>
    <w:basedOn w:val="92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35">
    <w:name w:val="Bordered &amp; Lined - Accent 2"/>
    <w:basedOn w:val="92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36">
    <w:name w:val="Bordered &amp; Lined - Accent 3"/>
    <w:basedOn w:val="92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37">
    <w:name w:val="Bordered &amp; Lined - Accent 4"/>
    <w:basedOn w:val="92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38">
    <w:name w:val="Bordered &amp; Lined - Accent 5"/>
    <w:basedOn w:val="92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39">
    <w:name w:val="Bordered &amp; Lined - Accent 6"/>
    <w:basedOn w:val="92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40">
    <w:name w:val="Bordered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41">
    <w:name w:val="Bordered - Accent 1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43">
    <w:name w:val="Bordered - Accent 3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44">
    <w:name w:val="Bordered - Accent 4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45">
    <w:name w:val="Bordered - Accent 5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46">
    <w:name w:val="Bordered - Accent 6"/>
    <w:basedOn w:val="92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25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Liberation Sans" pitchFamily="0" charset="1"/>
        <a:cs typeface="Liberation Sans" pitchFamily="0" charset="1"/>
      </a:majorFont>
      <a:minorFont>
        <a:latin typeface="Calibri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LibreOffice/25.8.3.2$Linux_X86_64 LibreOffice_project/580$Build-2</Application>
  <AppVersion>15.0000</AppVersion>
  <Pages>3</Pages>
  <Words>532</Words>
  <Characters>3625</Characters>
  <CharactersWithSpaces>4178</CharactersWithSpaces>
  <Paragraphs>16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2026-05-05T23:47:00Z</dcterms:created>
  <dc:creator>Чайка Татьяна Викторовна</dc:creator>
  <dc:description/>
  <dc:language>ru-RU</dc:language>
  <cp:lastModifiedBy/>
  <dcterms:modified xsi:type="dcterms:W3CDTF">2026-07-14T09:33:17Z</dcterms:modified>
  <cp:revision>25</cp:revision>
  <dc:subject/>
  <dc:title>Закон Приморского края от 24.12.2018 N 433-КЗ(ред. от 01.03.2023)"Об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края"(принят Законодательным Собранием Приморского края 19.12.2018)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