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360"/>
        <w:jc w:val="center"/>
        <w:rPr>
          <w:rFonts w:eastAsia="Calibri"/>
          <w:color w:val="000000"/>
          <w:spacing w:val="2"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>
      <w:pPr>
        <w:pStyle w:val="Normal"/>
        <w:jc w:val="center"/>
        <w:rPr>
          <w:rFonts w:eastAsia="Calibri"/>
          <w:color w:val="000000"/>
          <w:spacing w:val="2"/>
          <w:sz w:val="28"/>
          <w:szCs w:val="28"/>
        </w:rPr>
      </w:pPr>
      <w:r>
        <w:rPr>
          <w:rFonts w:eastAsia="Calibri"/>
          <w:color w:val="000000"/>
          <w:spacing w:val="2"/>
          <w:sz w:val="28"/>
          <w:szCs w:val="28"/>
        </w:rPr>
        <w:t>проекта закона Приморского края "О внесении изменений</w:t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Закон Приморского края "О социальной поддержке</w:t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отдельных категорий граждан Российской Федерации</w:t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газификации жилых домов на территории</w:t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rFonts w:eastAsia="Calibri"/>
          <w:bCs/>
          <w:color w:val="000000"/>
          <w:spacing w:val="2"/>
          <w:sz w:val="28"/>
          <w:szCs w:val="28"/>
        </w:rPr>
        <w:t>Приморского края"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rStyle w:val="11"/>
          <w:rFonts w:eastAsia="Calibri"/>
          <w:bCs/>
          <w:i w:val="false"/>
          <w:i w:val="false"/>
          <w:kern w:val="2"/>
          <w:sz w:val="28"/>
          <w:szCs w:val="28"/>
          <w:lang w:eastAsia="ru-RU"/>
        </w:rPr>
      </w:pPr>
      <w:r>
        <w:rPr>
          <w:rFonts w:eastAsia="Calibri"/>
          <w:bCs/>
          <w:i w:val="false"/>
          <w:kern w:val="2"/>
          <w:sz w:val="28"/>
          <w:szCs w:val="28"/>
          <w:lang w:eastAsia="ru-RU"/>
        </w:rPr>
      </w:r>
    </w:p>
    <w:p>
      <w:pPr>
        <w:pStyle w:val="212"/>
        <w:widowControl w:val="false"/>
        <w:tabs>
          <w:tab w:val="clear" w:pos="720"/>
          <w:tab w:val="left" w:pos="8460" w:leader="none"/>
        </w:tabs>
        <w:spacing w:lineRule="auto" w:line="336" w:before="0" w:after="0"/>
        <w:ind w:firstLine="709"/>
        <w:jc w:val="both"/>
        <w:rPr/>
      </w:pPr>
      <w:r>
        <w:rPr>
          <w:rStyle w:val="Style18"/>
          <w:rFonts w:eastAsia="MS Mincho;ＭＳ 明朝"/>
          <w:bCs/>
          <w:spacing w:val="2"/>
          <w:sz w:val="28"/>
          <w:szCs w:val="28"/>
          <w:lang w:eastAsia="en-US"/>
        </w:rPr>
        <w:t xml:space="preserve">В бюджете Приморского края </w:t>
      </w:r>
      <w:r>
        <w:rPr>
          <w:rStyle w:val="Style18"/>
          <w:rFonts w:eastAsia="MS Mincho;Yu Gothic UI"/>
          <w:bCs/>
          <w:spacing w:val="2"/>
          <w:sz w:val="28"/>
          <w:szCs w:val="28"/>
          <w:lang w:eastAsia="en-US"/>
        </w:rPr>
        <w:t xml:space="preserve">на предоставление меры социальной поддержки отдельным категориям граждан Российской Федерации по газификации жилых домов на территории Приморского края </w:t>
      </w:r>
      <w:r>
        <w:rPr>
          <w:rStyle w:val="Style18"/>
          <w:rFonts w:eastAsia="MS Mincho;ＭＳ 明朝"/>
          <w:bCs/>
          <w:spacing w:val="2"/>
          <w:sz w:val="28"/>
          <w:szCs w:val="28"/>
          <w:lang w:eastAsia="en-US"/>
        </w:rPr>
        <w:t xml:space="preserve">на 2026 год предусмотрено 46,90 млн руб. для 134 чел. </w:t>
      </w:r>
      <w:r>
        <w:rPr>
          <w:rStyle w:val="Style18"/>
          <w:rFonts w:eastAsia="MS Mincho;ＭＳ 明朝"/>
          <w:b w:val="false"/>
          <w:bCs w:val="false"/>
          <w:color w:val="000000"/>
          <w:spacing w:val="2"/>
          <w:sz w:val="28"/>
          <w:szCs w:val="28"/>
          <w:shd w:fill="auto" w:val="clear"/>
          <w:lang w:eastAsia="en-US"/>
        </w:rPr>
        <w:t>П</w:t>
      </w:r>
      <w:r>
        <w:rPr>
          <w:rStyle w:val="Style18"/>
          <w:rFonts w:eastAsia="MS Mincho;ＭＳ 明朝"/>
          <w:b w:val="false"/>
          <w:bCs/>
          <w:color w:val="000000"/>
          <w:spacing w:val="2"/>
          <w:sz w:val="28"/>
          <w:szCs w:val="28"/>
          <w:shd w:fill="auto" w:val="clear"/>
          <w:lang w:eastAsia="en-US"/>
        </w:rPr>
        <w:t xml:space="preserve">о состоянию </w:t>
        <w:br/>
        <w:t>на 11.06.2026 кассовое исполнение составило 31,16</w:t>
      </w:r>
      <w:r>
        <w:rPr>
          <w:rStyle w:val="Style18"/>
          <w:rFonts w:eastAsia="MS Mincho;ＭＳ 明朝"/>
          <w:b/>
          <w:bCs/>
          <w:color w:val="000000"/>
          <w:spacing w:val="2"/>
          <w:sz w:val="28"/>
          <w:szCs w:val="28"/>
          <w:shd w:fill="auto" w:val="clear"/>
          <w:lang w:eastAsia="en-US"/>
        </w:rPr>
        <w:t xml:space="preserve"> </w:t>
      </w:r>
      <w:r>
        <w:rPr>
          <w:rStyle w:val="Style18"/>
          <w:rFonts w:eastAsia="MS Mincho;ＭＳ 明朝"/>
          <w:b w:val="false"/>
          <w:bCs w:val="false"/>
          <w:color w:val="000000"/>
          <w:spacing w:val="2"/>
          <w:sz w:val="28"/>
          <w:szCs w:val="28"/>
          <w:shd w:fill="auto" w:val="clear"/>
          <w:lang w:eastAsia="en-US"/>
        </w:rPr>
        <w:t>млн руб. (66,43 % от предусмотренных средств).</w:t>
      </w:r>
    </w:p>
    <w:p>
      <w:pPr>
        <w:pStyle w:val="Normal"/>
        <w:suppressAutoHyphens w:val="true"/>
        <w:spacing w:lineRule="auto" w:line="360"/>
        <w:ind w:firstLine="737" w:right="57"/>
        <w:jc w:val="both"/>
        <w:rPr>
          <w:bCs/>
          <w:color w:val="000000"/>
          <w:sz w:val="28"/>
          <w:szCs w:val="28"/>
        </w:rPr>
      </w:pPr>
      <w:r>
        <w:rPr>
          <w:rStyle w:val="Style18"/>
          <w:rFonts w:eastAsia="MS Mincho;ＭＳ 明朝"/>
          <w:b w:val="false"/>
          <w:bCs/>
          <w:color w:val="000000"/>
          <w:spacing w:val="2"/>
          <w:sz w:val="28"/>
          <w:szCs w:val="28"/>
          <w:shd w:fill="auto" w:val="clear"/>
          <w:lang w:eastAsia="en-US"/>
        </w:rPr>
        <w:t>В связи с тем, что категории участников специальной военной операции, поименованные в Указе Президента РФ от 15.05.2026 № 327</w:t>
        <w:br/>
        <w:t>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относятся к категории ветеранов боевых действий, которым право на меру социальной поддержки по газификации жилых домов установлено ранее, не повлечет расширения категорий и не увеличит численность получателей.</w:t>
      </w:r>
    </w:p>
    <w:p>
      <w:pPr>
        <w:pStyle w:val="212"/>
        <w:widowControl w:val="false"/>
        <w:tabs>
          <w:tab w:val="clear" w:pos="720"/>
          <w:tab w:val="left" w:pos="8460" w:leader="none"/>
        </w:tabs>
        <w:spacing w:lineRule="auto" w:line="348"/>
        <w:ind w:firstLine="709" w:right="0"/>
        <w:jc w:val="both"/>
        <w:rPr/>
      </w:pPr>
      <w:r>
        <w:rPr>
          <w:sz w:val="28"/>
          <w:szCs w:val="28"/>
        </w:rPr>
        <w:t xml:space="preserve">Принятие данного законопроекта не потребует дополнительных бюджетных ассигнований и </w:t>
      </w:r>
      <w:r>
        <w:rPr>
          <w:rStyle w:val="Style18"/>
          <w:rFonts w:eastAsia="MS Mincho;ＭＳ 明朝"/>
          <w:b w:val="false"/>
          <w:bCs w:val="false"/>
          <w:color w:val="000000"/>
          <w:spacing w:val="2"/>
          <w:sz w:val="28"/>
          <w:szCs w:val="28"/>
          <w:shd w:fill="auto" w:val="clear"/>
          <w:lang w:eastAsia="en-US"/>
        </w:rPr>
        <w:t>внесения изменений в Закон Приморского края   «О краевом бюджете на 2026 год и плановый период 2027 и 2028 годов» .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134" w:leader="none"/>
        </w:tabs>
        <w:ind w:firstLine="709"/>
        <w:jc w:val="both"/>
        <w:rPr>
          <w:color w:val="000000"/>
          <w:spacing w:val="2"/>
          <w:sz w:val="28"/>
          <w:szCs w:val="28"/>
          <w:lang w:eastAsia="ru-RU"/>
        </w:rPr>
      </w:pPr>
      <w:r>
        <w:rPr>
          <w:color w:val="000000"/>
          <w:spacing w:val="2"/>
          <w:sz w:val="28"/>
          <w:szCs w:val="28"/>
          <w:lang w:eastAsia="ru-RU"/>
        </w:rPr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134" w:leader="none"/>
        </w:tabs>
        <w:ind w:firstLine="709"/>
        <w:jc w:val="both"/>
        <w:rPr>
          <w:color w:val="000000"/>
          <w:spacing w:val="2"/>
          <w:sz w:val="28"/>
          <w:szCs w:val="28"/>
          <w:lang w:eastAsia="ru-RU"/>
        </w:rPr>
      </w:pPr>
      <w:r>
        <w:rPr>
          <w:color w:val="000000"/>
          <w:spacing w:val="2"/>
          <w:sz w:val="28"/>
          <w:szCs w:val="28"/>
          <w:lang w:eastAsia="ru-RU"/>
        </w:rPr>
      </w:r>
    </w:p>
    <w:tbl>
      <w:tblPr>
        <w:tblW w:w="964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12"/>
        <w:gridCol w:w="4433"/>
      </w:tblGrid>
      <w:tr>
        <w:trPr/>
        <w:tc>
          <w:tcPr>
            <w:tcW w:w="5212" w:type="dxa"/>
            <w:tcBorders/>
          </w:tcPr>
          <w:p>
            <w:pPr>
              <w:pStyle w:val="Normal"/>
              <w:tabs>
                <w:tab w:val="clear" w:pos="720"/>
                <w:tab w:val="left" w:pos="614" w:leader="none"/>
              </w:tabs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труда и социальной политики  Приморского края</w:t>
            </w:r>
          </w:p>
        </w:tc>
        <w:tc>
          <w:tcPr>
            <w:tcW w:w="443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rFonts w:eastAsia="Tahoma"/>
                <w:sz w:val="28"/>
                <w:szCs w:val="28"/>
              </w:rPr>
            </w:pPr>
            <w:r>
              <w:rPr>
                <w:rFonts w:eastAsia="Tahoma"/>
                <w:sz w:val="28"/>
                <w:szCs w:val="28"/>
              </w:rPr>
            </w:r>
          </w:p>
          <w:p>
            <w:pPr>
              <w:pStyle w:val="Header"/>
              <w:widowControl w:val="false"/>
              <w:shd w:val="clear" w:color="auto" w:fill="FFFFFF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                                 </w:t>
            </w:r>
            <w:r>
              <w:rPr>
                <w:color w:val="000000"/>
                <w:sz w:val="28"/>
                <w:szCs w:val="28"/>
              </w:rPr>
              <w:t>С.В. Красицкая</w:t>
            </w:r>
          </w:p>
        </w:tc>
      </w:tr>
    </w:tbl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465" w:top="1035" w:footer="0" w:bottom="850"/>
      <w:pgNumType w:start="1" w:fmt="decimal"/>
      <w:formProt w:val="false"/>
      <w:titlePg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360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evenAndOddHeaders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2" w:customStyle="1">
    <w:name w:val="Основной шрифт абзаца2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b w:val="false"/>
    </w:rPr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b w:val="false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1" w:customStyle="1">
    <w:name w:val="Основной шрифт абзаца1"/>
    <w:qFormat/>
    <w:rPr/>
  </w:style>
  <w:style w:type="character" w:styleId="21" w:customStyle="1">
    <w:name w:val="Основной текст с отступом 2 Знак"/>
    <w:basedOn w:val="1"/>
    <w:qFormat/>
    <w:rPr/>
  </w:style>
  <w:style w:type="character" w:styleId="Style14" w:customStyle="1">
    <w:name w:val="Верхний колонтитул Знак"/>
    <w:qFormat/>
    <w:rPr>
      <w:sz w:val="26"/>
    </w:rPr>
  </w:style>
  <w:style w:type="character" w:styleId="Style15" w:customStyle="1">
    <w:name w:val="Нижний колонтитул Знак"/>
    <w:qFormat/>
    <w:rPr>
      <w:sz w:val="26"/>
    </w:rPr>
  </w:style>
  <w:style w:type="character" w:styleId="Style16" w:customStyle="1">
    <w:name w:val="Основной текст с отступом Знак"/>
    <w:qFormat/>
    <w:rPr>
      <w:sz w:val="26"/>
    </w:rPr>
  </w:style>
  <w:style w:type="character" w:styleId="31" w:customStyle="1">
    <w:name w:val="Основной текст 3 Знак"/>
    <w:qFormat/>
    <w:rPr>
      <w:sz w:val="16"/>
      <w:szCs w:val="16"/>
    </w:rPr>
  </w:style>
  <w:style w:type="character" w:styleId="Style17" w:customStyle="1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Style18" w:customStyle="1">
    <w:name w:val="Нет"/>
    <w:qFormat/>
    <w:rPr/>
  </w:style>
  <w:style w:type="character" w:styleId="22" w:customStyle="1">
    <w:name w:val="Выделение2"/>
    <w:qFormat/>
    <w:rPr>
      <w:i/>
      <w:iCs/>
    </w:rPr>
  </w:style>
  <w:style w:type="character" w:styleId="11" w:customStyle="1">
    <w:name w:val="Выделение1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BodyText">
    <w:name w:val="Body Text"/>
    <w:basedOn w:val="Normal"/>
    <w:pPr>
      <w:jc w:val="center"/>
    </w:pPr>
    <w:rPr/>
  </w:style>
  <w:style w:type="paragraph" w:styleId="List">
    <w:name w:val="List"/>
    <w:basedOn w:val="BodyText"/>
    <w:pPr/>
    <w:rPr>
      <w:rFonts w:cs="Noto Sans Devanagari;Times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;Times New Roman" w:hAnsi="PT Astra Serif;Times New Roman" w:cs="Noto Sans Devanagari;Times New"/>
      <w:i/>
      <w:iCs/>
      <w:sz w:val="24"/>
      <w:szCs w:val="24"/>
    </w:rPr>
  </w:style>
  <w:style w:type="paragraph" w:styleId="Style20" w:customStyle="1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32" w:customStyle="1">
    <w:name w:val="Заголовок3"/>
    <w:basedOn w:val="Normal"/>
    <w:next w:val="BodyText"/>
    <w:qFormat/>
    <w:pPr>
      <w:keepNext w:val="true"/>
      <w:spacing w:before="240" w:after="120"/>
    </w:pPr>
    <w:rPr>
      <w:rFonts w:ascii="PT Astra Serif;Times New Roman" w:hAnsi="PT Astra Serif;Times New Roman" w:eastAsia="Tahoma" w:cs="Noto Sans Devanagari;Times New"/>
      <w:sz w:val="28"/>
      <w:szCs w:val="28"/>
    </w:rPr>
  </w:style>
  <w:style w:type="paragraph" w:styleId="5" w:customStyle="1">
    <w:name w:val="Указатель5"/>
    <w:basedOn w:val="Normal"/>
    <w:qFormat/>
    <w:pPr>
      <w:suppressLineNumbers/>
    </w:pPr>
    <w:rPr>
      <w:rFonts w:ascii="PT Astra Serif;Times New Roman" w:hAnsi="PT Astra Serif;Times New Roman" w:cs="Noto Sans Devanagari;Times New"/>
    </w:rPr>
  </w:style>
  <w:style w:type="paragraph" w:styleId="23" w:customStyle="1">
    <w:name w:val="Заголовок2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33" w:customStyle="1">
    <w:name w:val="Название объекта3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41" w:customStyle="1">
    <w:name w:val="Указатель4"/>
    <w:basedOn w:val="Normal"/>
    <w:qFormat/>
    <w:pPr>
      <w:suppressLineNumbers/>
    </w:pPr>
    <w:rPr>
      <w:rFonts w:cs="Noto Sans Devanagari;Times New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caption111111111111111" w:customStyle="1">
    <w:name w:val="caption11111111111111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34" w:customStyle="1">
    <w:name w:val="Указатель3"/>
    <w:basedOn w:val="Normal"/>
    <w:qFormat/>
    <w:pPr>
      <w:suppressLineNumbers/>
    </w:pPr>
    <w:rPr>
      <w:rFonts w:cs="Noto Sans Devanagari;Times New"/>
    </w:rPr>
  </w:style>
  <w:style w:type="paragraph" w:styleId="24" w:customStyle="1">
    <w:name w:val="Название объекта2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25" w:customStyle="1">
    <w:name w:val="Указатель2"/>
    <w:basedOn w:val="Normal"/>
    <w:qFormat/>
    <w:pPr>
      <w:suppressLineNumbers/>
    </w:pPr>
    <w:rPr>
      <w:rFonts w:cs="Noto Sans Devanagari;Times New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Noto Sans Devanagari;Times New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 w:customStyle="1">
    <w:name w:val="Основной текст с отступом 21"/>
    <w:basedOn w:val="Normal"/>
    <w:qFormat/>
    <w:pPr>
      <w:widowControl w:val="false"/>
      <w:spacing w:lineRule="auto" w:line="480" w:before="0" w:after="120"/>
      <w:ind w:left="283"/>
    </w:pPr>
    <w:rPr>
      <w:sz w:val="20"/>
    </w:rPr>
  </w:style>
  <w:style w:type="paragraph" w:styleId="Style21" w:customStyle="1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2" w:customStyle="1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3" w:customStyle="1">
    <w:name w:val="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user2" w:customStyle="1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6"/>
      <w:szCs w:val="20"/>
      <w:lang w:val="ru-RU" w:eastAsia="zh-CN" w:bidi="ar-SA"/>
    </w:rPr>
  </w:style>
  <w:style w:type="paragraph" w:styleId="311" w:customStyle="1">
    <w:name w:val="Основной текст 31"/>
    <w:basedOn w:val="Normal"/>
    <w:qFormat/>
    <w:pPr>
      <w:spacing w:before="0" w:after="120"/>
    </w:pPr>
    <w:rPr>
      <w:sz w:val="16"/>
      <w:szCs w:val="16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  <w:contextualSpacing/>
    </w:pPr>
    <w:rPr>
      <w:rFonts w:ascii="Calibri" w:hAnsi="Calibri" w:cs="Calibri"/>
      <w:sz w:val="22"/>
      <w:szCs w:val="22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6"/>
      <w:szCs w:val="20"/>
      <w:lang w:val="ru-RU" w:eastAsia="zh-CN" w:bidi="ar-SA"/>
    </w:rPr>
  </w:style>
  <w:style w:type="paragraph" w:styleId="212" w:customStyle="1">
    <w:name w:val="Основной текст 21"/>
    <w:basedOn w:val="Normal"/>
    <w:qFormat/>
    <w:pPr>
      <w:spacing w:lineRule="auto" w:line="480" w:before="0" w:after="120"/>
    </w:pPr>
    <w:rPr>
      <w:sz w:val="24"/>
      <w:szCs w:val="24"/>
    </w:rPr>
  </w:style>
  <w:style w:type="paragraph" w:styleId="user3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 w:customStyle="1">
    <w:name w:val="Заголовок таблицы (user)"/>
    <w:basedOn w:val="user3"/>
    <w:qFormat/>
    <w:pPr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LibreOffice/25.8.3.2$Linux_X86_64 LibreOffice_project/580$Build-2</Application>
  <AppVersion>15.0000</AppVersion>
  <Pages>1</Pages>
  <Words>183</Words>
  <Characters>1175</Characters>
  <CharactersWithSpaces>1382</CharactersWithSpaces>
  <Paragraphs>13</Paragraphs>
  <Company>КонсультантПлюс Версия 4022.00.55_x005f_x0000__x005f_x0000_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2023-02-13T11:28:00Z</dcterms:created>
  <dc:creator>installer</dc:creator>
  <dc:description/>
  <dc:language>ru-RU</dc:language>
  <cp:lastModifiedBy/>
  <cp:lastPrinted>2025-12-23T14:40:00Z</cp:lastPrinted>
  <dcterms:modified xsi:type="dcterms:W3CDTF">2026-06-26T16:35:00Z</dcterms:modified>
  <cp:revision>49</cp:revision>
  <dc:subject/>
  <dc:title>Постановление Администрации Приморского края от 06.04.2011 N 96-па(ред. от 14.10.2022)"Об утверждении Порядка предоставления отдельным категориям граждан мер социальной поддержки в области обеспечения равной транспортной доступности"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