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uppressAutoHyphens w:val="true"/>
        <w:ind w:right="22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>
      <w:pPr>
        <w:pStyle w:val="Normal"/>
        <w:shd w:val="clear" w:color="auto" w:fill="FFFFFF"/>
        <w:suppressAutoHyphens w:val="true"/>
        <w:ind w:right="22"/>
        <w:jc w:val="center"/>
        <w:rPr>
          <w:b/>
          <w:bCs/>
          <w:color w:val="000000"/>
          <w:spacing w:val="2"/>
          <w:sz w:val="18"/>
          <w:szCs w:val="18"/>
        </w:rPr>
      </w:pPr>
      <w:r>
        <w:rPr>
          <w:b/>
          <w:bCs/>
          <w:color w:val="000000"/>
          <w:spacing w:val="2"/>
          <w:sz w:val="18"/>
          <w:szCs w:val="18"/>
        </w:rPr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проекту закона Приморского края "О внесении изменений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Закон Приморского края "О социальной поддержке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отдельных категорий граждан Российской Федерации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газификации жилых домов на территории</w:t>
      </w:r>
    </w:p>
    <w:p>
      <w:pPr>
        <w:pStyle w:val="Normal"/>
        <w:suppressAutoHyphens w:val="tru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Приморского края"</w:t>
      </w:r>
    </w:p>
    <w:p>
      <w:pPr>
        <w:pStyle w:val="Normal"/>
        <w:suppressAutoHyphens w:val="true"/>
        <w:jc w:val="center"/>
        <w:rPr>
          <w:rFonts w:eastAsia="Calibri" w:cs="PT Astra Serif;Times New Roman"/>
          <w:color w:val="000000"/>
          <w:spacing w:val="2"/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</w:r>
    </w:p>
    <w:p>
      <w:pPr>
        <w:pStyle w:val="Normal"/>
        <w:suppressAutoHyphens w:val="true"/>
        <w:spacing w:lineRule="auto" w:line="360"/>
        <w:ind w:firstLine="737" w:right="5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закона Приморского края "О внесении изменений в Закон Приморского края "О социальной поддержке отдельных категорий граждан Российской Федерации по газификации жилых домов на территории Приморского края" (далее - законопроект) подготовлен во исполнение Указа Президента РФ от 15.05.2026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(далее - Указ).</w:t>
      </w:r>
    </w:p>
    <w:p>
      <w:pPr>
        <w:pStyle w:val="Normal"/>
        <w:suppressAutoHyphens w:val="true"/>
        <w:spacing w:lineRule="auto" w:line="360"/>
        <w:ind w:firstLine="737" w:right="5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Законопроектом приведены в соответствие с Указом категории граждан, имеющих право на предоставление меры поддержки по газификации жилых домов, из числа лиц, принимающих участие либо содействующих выполнению задач в специальной военной операции, а также конкретизированы члены семей указанных лиц.</w:t>
      </w:r>
    </w:p>
    <w:p>
      <w:pPr>
        <w:pStyle w:val="Normal"/>
        <w:suppressAutoHyphens w:val="true"/>
        <w:spacing w:lineRule="auto" w:line="360"/>
        <w:ind w:firstLine="737" w:right="57"/>
        <w:jc w:val="both"/>
        <w:rPr>
          <w:rFonts w:ascii="Times New Roman" w:hAnsi="Times New Roman"/>
          <w:b w:val="false"/>
          <w:bCs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Кроме того, учтены мероприятия федерального проекта «Чистый воздух», в рамках которого с 2027 года в Уссурийском городском округе частные домовладения переведут с угольного (дровяного) отопления на газовое отопление.</w:t>
      </w:r>
    </w:p>
    <w:p>
      <w:pPr>
        <w:pStyle w:val="Normal"/>
        <w:ind w:firstLine="737" w:right="57"/>
        <w:jc w:val="both"/>
        <w:rPr>
          <w:rFonts w:eastAsia="Calibri" w:cs="PT Astra Serif;Times New Roman"/>
          <w:color w:val="000000"/>
          <w:spacing w:val="2"/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</w:r>
    </w:p>
    <w:p>
      <w:pPr>
        <w:pStyle w:val="Normal"/>
        <w:ind w:firstLine="737" w:right="57"/>
        <w:jc w:val="both"/>
        <w:rPr>
          <w:rFonts w:eastAsia="Calibri" w:cs="PT Astra Serif;Times New Roman"/>
          <w:color w:val="000000"/>
          <w:spacing w:val="2"/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</w:r>
    </w:p>
    <w:p>
      <w:pPr>
        <w:pStyle w:val="Normal"/>
        <w:ind w:firstLine="737" w:right="57"/>
        <w:jc w:val="both"/>
        <w:rPr>
          <w:rFonts w:eastAsia="Calibri" w:cs="PT Astra Serif;Times New Roman"/>
          <w:color w:val="000000"/>
          <w:spacing w:val="2"/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983"/>
        <w:gridCol w:w="4655"/>
      </w:tblGrid>
      <w:tr>
        <w:trPr/>
        <w:tc>
          <w:tcPr>
            <w:tcW w:w="4983" w:type="dxa"/>
            <w:tcBorders/>
          </w:tcPr>
          <w:p>
            <w:pPr>
              <w:pStyle w:val="Normal"/>
              <w:tabs>
                <w:tab w:val="clear" w:pos="720"/>
                <w:tab w:val="left" w:pos="614" w:leader="none"/>
              </w:tabs>
              <w:ind w:left="-113"/>
              <w:jc w:val="center"/>
              <w:rPr/>
            </w:pPr>
            <w:r>
              <w:rPr>
                <w:sz w:val="28"/>
                <w:szCs w:val="28"/>
              </w:rPr>
              <w:t>Министр  труда и социальной политики  Приморского края</w:t>
            </w:r>
          </w:p>
        </w:tc>
        <w:tc>
          <w:tcPr>
            <w:tcW w:w="4655" w:type="dxa"/>
            <w:tcBorders/>
          </w:tcPr>
          <w:p>
            <w:pPr>
              <w:pStyle w:val="Normal"/>
              <w:jc w:val="both"/>
              <w:rPr>
                <w:rFonts w:eastAsia="Tahoma" w:cs="Noto Sans Devanagari;Times New"/>
                <w:sz w:val="28"/>
                <w:szCs w:val="28"/>
              </w:rPr>
            </w:pPr>
            <w:r>
              <w:rPr>
                <w:rFonts w:eastAsia="Tahoma" w:cs="Noto Sans Devanagari;Times New"/>
                <w:sz w:val="28"/>
                <w:szCs w:val="28"/>
              </w:rPr>
            </w:r>
          </w:p>
          <w:p>
            <w:pPr>
              <w:pStyle w:val="Header"/>
              <w:shd w:val="clear" w:color="auto" w:fill="FFFFFF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                                    </w:t>
            </w:r>
            <w:r>
              <w:rPr>
                <w:color w:val="000000"/>
                <w:sz w:val="28"/>
                <w:szCs w:val="28"/>
              </w:rPr>
              <w:t>С.В. Красицкая</w:t>
            </w:r>
          </w:p>
        </w:tc>
      </w:tr>
    </w:tbl>
    <w:p>
      <w:pPr>
        <w:pStyle w:val="Normal"/>
        <w:shd w:val="clear" w:color="auto" w:fill="FFFFFF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0" w:top="851" w:footer="0" w:bottom="89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0</w:t>
    </w:r>
    <w:r>
      <w:rPr>
        <w:sz w:val="28"/>
        <w:szCs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fals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qFormat/>
    <w:rPr>
      <w:sz w:val="48"/>
      <w:szCs w:val="48"/>
    </w:rPr>
  </w:style>
  <w:style w:type="character" w:styleId="Style5" w:customStyle="1">
    <w:name w:val="Подзаголовок Знак"/>
    <w:basedOn w:val="DefaultParagraphFont"/>
    <w:qFormat/>
    <w:rPr>
      <w:sz w:val="24"/>
      <w:szCs w:val="24"/>
    </w:rPr>
  </w:style>
  <w:style w:type="character" w:styleId="21" w:customStyle="1">
    <w:name w:val="Цитата 2 Знак"/>
    <w:link w:val="Quote"/>
    <w:qFormat/>
    <w:rPr>
      <w:i/>
    </w:rPr>
  </w:style>
  <w:style w:type="character" w:styleId="Style6" w:customStyle="1">
    <w:name w:val="Выделенная цитата Знак"/>
    <w:link w:val="IntenseQuote"/>
    <w:qFormat/>
    <w:rPr>
      <w:i/>
    </w:rPr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CaptionChar" w:customStyle="1">
    <w:name w:val="Caption Char"/>
    <w:basedOn w:val="DefaultParagraphFont"/>
    <w:qFormat/>
    <w:rPr>
      <w:b/>
      <w:bCs/>
      <w:color w:themeColor="accent1" w:val="5B9BD5"/>
      <w:sz w:val="18"/>
      <w:szCs w:val="18"/>
    </w:rPr>
  </w:style>
  <w:style w:type="character" w:styleId="Hyperlink">
    <w:name w:val="Hyperlink"/>
    <w:rPr>
      <w:color w:themeColor="hyperlink" w:val="0563C1"/>
      <w:u w:val="single"/>
    </w:rPr>
  </w:style>
  <w:style w:type="character" w:styleId="Style7" w:customStyle="1">
    <w:name w:val="Текст сноски Знак"/>
    <w:qFormat/>
    <w:rPr>
      <w:sz w:val="18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qFormat/>
    <w:rPr>
      <w:sz w:val="20"/>
    </w:rPr>
  </w:style>
  <w:style w:type="character" w:styleId="Style10" w:customStyle="1">
    <w:name w:val="Символ концевой сноски"/>
    <w:qFormat/>
    <w:rPr>
      <w:vertAlign w:val="superscript"/>
    </w:rPr>
  </w:style>
  <w:style w:type="character" w:styleId="user1" w:customStyle="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Основной шрифт абзаца2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11" w:customStyle="1">
    <w:name w:val="Основной шрифт абзаца1"/>
    <w:qFormat/>
    <w:rPr/>
  </w:style>
  <w:style w:type="character" w:styleId="PageNumber">
    <w:name w:val="page number"/>
    <w:basedOn w:val="11"/>
    <w:rPr/>
  </w:style>
  <w:style w:type="character" w:styleId="12" w:customStyle="1">
    <w:name w:val="Гиперссылка1"/>
    <w:qFormat/>
    <w:rPr>
      <w:color w:val="0000FF"/>
      <w:u w:val="single"/>
    </w:rPr>
  </w:style>
  <w:style w:type="character" w:styleId="ConsPlusNormal" w:customStyle="1">
    <w:name w:val="ConsPlusNormal Знак"/>
    <w:qFormat/>
    <w:rPr>
      <w:rFonts w:ascii="Arial" w:hAnsi="Arial" w:cs="Arial"/>
    </w:rPr>
  </w:style>
  <w:style w:type="character" w:styleId="FontStyle12" w:customStyle="1">
    <w:name w:val="Font Style12"/>
    <w:qFormat/>
    <w:rPr>
      <w:rFonts w:ascii="Times New Roman" w:hAnsi="Times New Roman" w:cs="Times New Roman"/>
      <w:sz w:val="26"/>
      <w:szCs w:val="26"/>
    </w:rPr>
  </w:style>
  <w:style w:type="character" w:styleId="Style11" w:customStyle="1">
    <w:name w:val="Нижний колонтитул Знак"/>
    <w:basedOn w:val="11"/>
    <w:qFormat/>
    <w:rPr/>
  </w:style>
  <w:style w:type="character" w:styleId="Style12" w:customStyle="1">
    <w:name w:val="Верхний колонтитул Знак"/>
    <w:qFormat/>
    <w:rPr/>
  </w:style>
  <w:style w:type="character" w:styleId="Style13" w:customStyle="1">
    <w:name w:val="Текст выноски Знак"/>
    <w:qFormat/>
    <w:rPr>
      <w:rFonts w:ascii="Segoe UI" w:hAnsi="Segoe UI" w:eastAsia="Segoe UI" w:cs="Segoe UI"/>
      <w:sz w:val="18"/>
      <w:szCs w:val="18"/>
    </w:rPr>
  </w:style>
  <w:style w:type="character" w:styleId="Style14" w:customStyle="1">
    <w:name w:val="Основной текст Знак"/>
    <w:qFormat/>
    <w:rPr>
      <w:rFonts w:eastAsia="Times New Roman"/>
      <w:b/>
      <w:szCs w:val="20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sz w:val="26"/>
    </w:rPr>
  </w:style>
  <w:style w:type="paragraph" w:styleId="List">
    <w:name w:val="List"/>
    <w:basedOn w:val="BodyText"/>
    <w:pPr/>
    <w:rPr>
      <w:rFonts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user3" w:customStyle="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cs="Noto Sans Devanagari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4"/>
      <w:lang w:val="ru-RU" w:eastAsia="zh-CN" w:bidi="hi-IN"/>
    </w:rPr>
  </w:style>
  <w:style w:type="paragraph" w:styleId="Subtitle">
    <w:name w:val="Subtitle"/>
    <w:basedOn w:val="Normal"/>
    <w:next w:val="Normal"/>
    <w:link w:val="Style5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6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7"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9"/>
    <w:pPr/>
    <w:rPr/>
  </w:style>
  <w:style w:type="paragraph" w:styleId="TOC1">
    <w:name w:val="toc 1"/>
    <w:basedOn w:val="Normal"/>
    <w:next w:val="Normal"/>
    <w:pPr>
      <w:spacing w:before="0" w:after="57"/>
    </w:pPr>
    <w:rPr/>
  </w:style>
  <w:style w:type="paragraph" w:styleId="TOC2">
    <w:name w:val="toc 2"/>
    <w:basedOn w:val="Normal"/>
    <w:next w:val="Normal"/>
    <w:pPr>
      <w:spacing w:before="0" w:after="57"/>
      <w:ind w:left="283"/>
    </w:pPr>
    <w:rPr/>
  </w:style>
  <w:style w:type="paragraph" w:styleId="TOC3">
    <w:name w:val="toc 3"/>
    <w:basedOn w:val="Normal"/>
    <w:next w:val="Normal"/>
    <w:pPr>
      <w:spacing w:before="0" w:after="57"/>
      <w:ind w:left="567"/>
    </w:pPr>
    <w:rPr/>
  </w:style>
  <w:style w:type="paragraph" w:styleId="TOC4">
    <w:name w:val="toc 4"/>
    <w:basedOn w:val="Normal"/>
    <w:next w:val="Normal"/>
    <w:pPr>
      <w:spacing w:before="0" w:after="57"/>
      <w:ind w:left="850"/>
    </w:pPr>
    <w:rPr/>
  </w:style>
  <w:style w:type="paragraph" w:styleId="TOC5">
    <w:name w:val="toc 5"/>
    <w:basedOn w:val="Normal"/>
    <w:next w:val="Normal"/>
    <w:pPr>
      <w:spacing w:before="0" w:after="57"/>
      <w:ind w:left="1134"/>
    </w:pPr>
    <w:rPr/>
  </w:style>
  <w:style w:type="paragraph" w:styleId="TOC6">
    <w:name w:val="toc 6"/>
    <w:basedOn w:val="Normal"/>
    <w:next w:val="Normal"/>
    <w:pPr>
      <w:spacing w:before="0" w:after="57"/>
      <w:ind w:left="1417"/>
    </w:pPr>
    <w:rPr/>
  </w:style>
  <w:style w:type="paragraph" w:styleId="TOC7">
    <w:name w:val="toc 7"/>
    <w:basedOn w:val="Normal"/>
    <w:next w:val="Normal"/>
    <w:pPr>
      <w:spacing w:before="0" w:after="57"/>
      <w:ind w:left="1701"/>
    </w:pPr>
    <w:rPr/>
  </w:style>
  <w:style w:type="paragraph" w:styleId="TOC8">
    <w:name w:val="toc 8"/>
    <w:basedOn w:val="Normal"/>
    <w:next w:val="Normal"/>
    <w:pPr>
      <w:spacing w:before="0" w:after="57"/>
      <w:ind w:left="1984"/>
    </w:pPr>
    <w:rPr/>
  </w:style>
  <w:style w:type="paragraph" w:styleId="TOC9">
    <w:name w:val="toc 9"/>
    <w:basedOn w:val="Normal"/>
    <w:next w:val="Normal"/>
    <w:pPr>
      <w:spacing w:before="0" w:after="57"/>
      <w:ind w:left="2268"/>
    </w:pPr>
    <w:rPr/>
  </w:style>
  <w:style w:type="paragraph" w:styleId="TOCHeading">
    <w:name w:val="TOC Head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4"/>
      <w:lang w:val="ru-RU" w:eastAsia="zh-CN" w:bidi="hi-IN"/>
    </w:rPr>
  </w:style>
  <w:style w:type="paragraph" w:styleId="TableofFigures">
    <w:name w:val="table of figures"/>
    <w:basedOn w:val="Normal"/>
    <w:next w:val="Normal"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31" w:customStyle="1">
    <w:name w:val="Указатель3"/>
    <w:basedOn w:val="Normal"/>
    <w:qFormat/>
    <w:pPr>
      <w:suppressLineNumbers/>
    </w:pPr>
    <w:rPr>
      <w:rFonts w:cs="Noto Sans Devanagari;Times New"/>
    </w:rPr>
  </w:style>
  <w:style w:type="paragraph" w:styleId="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23" w:customStyle="1">
    <w:name w:val="Указатель2"/>
    <w:basedOn w:val="Normal"/>
    <w:qFormat/>
    <w:pPr>
      <w:suppressLineNumbers/>
    </w:pPr>
    <w:rPr>
      <w:rFonts w:cs="Noto Sans Devanagari;Times New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15" w:customStyle="1">
    <w:name w:val="Указатель1"/>
    <w:basedOn w:val="Normal"/>
    <w:qFormat/>
    <w:pPr>
      <w:suppressLineNumbers/>
    </w:pPr>
    <w:rPr>
      <w:rFonts w:cs="Noto Sans Devanagari;Times New"/>
    </w:rPr>
  </w:style>
  <w:style w:type="paragraph" w:styleId="Style18" w:customStyle="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9" w:customStyle="1">
    <w:name w:val="Колонтитул"/>
    <w:basedOn w:val="Normal"/>
    <w:qFormat/>
    <w:pPr/>
    <w:rPr/>
  </w:style>
  <w:style w:type="paragraph" w:styleId="Style20" w:customStyle="1">
    <w:name w:val="Колонтитулы"/>
    <w:basedOn w:val="Normal"/>
    <w:qFormat/>
    <w:pPr/>
    <w:rPr/>
  </w:style>
  <w:style w:type="paragraph" w:styleId="user4" w:customStyle="1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1" w:customStyle="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Title" w:customStyle="1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1" w:customStyle="1">
    <w:name w:val="Содержимое врезки"/>
    <w:basedOn w:val="Normal"/>
    <w:qFormat/>
    <w:pPr/>
    <w:rPr/>
  </w:style>
  <w:style w:type="paragraph" w:styleId="Style22" w:customStyle="1">
    <w:name w:val="Содержимое таблицы"/>
    <w:basedOn w:val="Normal"/>
    <w:qFormat/>
    <w:pPr>
      <w:suppressLineNumbers/>
    </w:pPr>
    <w:rPr/>
  </w:style>
  <w:style w:type="paragraph" w:styleId="Style23" w:customStyle="1">
    <w:name w:val="Заголовок таблицы"/>
    <w:basedOn w:val="Style22"/>
    <w:qFormat/>
    <w:pPr>
      <w:jc w:val="center"/>
    </w:pPr>
    <w:rPr>
      <w:b/>
      <w:bCs/>
    </w:rPr>
  </w:style>
  <w:style w:type="paragraph" w:styleId="Style24" w:customStyle="1">
    <w:name w:val="Верхний колонтитул слева"/>
    <w:basedOn w:val="Normal"/>
    <w:qFormat/>
    <w:pPr>
      <w:suppressLineNumbers/>
      <w:tabs>
        <w:tab w:val="clear" w:pos="720"/>
        <w:tab w:val="center" w:pos="4818" w:leader="none"/>
        <w:tab w:val="right" w:pos="9637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numbering" w:styleId="user6" w:customStyle="1">
    <w:name w:val="Без списка (user)"/>
    <w:qFormat/>
  </w:style>
  <w:style w:type="numbering" w:styleId="Style25" w:customStyle="1">
    <w:name w:val="Без списка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LibreOffice/25.8.3.2$Linux_X86_64 LibreOffice_project/580$Build-2</Application>
  <AppVersion>15.0000</AppVersion>
  <Pages>1</Pages>
  <Words>170</Words>
  <Characters>1126</Characters>
  <CharactersWithSpaces>1322</CharactersWithSpaces>
  <Paragraphs>12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2026-01-12T04:37:00Z</dcterms:created>
  <dc:creator>Miheeva_IS</dc:creator>
  <dc:description/>
  <dc:language>ru-RU</dc:language>
  <cp:lastModifiedBy/>
  <dcterms:modified xsi:type="dcterms:W3CDTF">2026-06-17T09:04:40Z</dcterms:modified>
  <cp:revision>6</cp:revision>
  <dc:subject/>
  <dc:title>Федеральный закон от 27.11.2018 N 422-ФЗ(ред. от 28.12.2022)"О проведении эксперимента по установлению специального налогового режима "Налог на профессиональный доход"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