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fill="FFFFFF"/>
        <w:ind w:hanging="0" w:right="23"/>
        <w:jc w:val="center"/>
        <w:rPr>
          <w:b/>
          <w:bCs/>
          <w:color w:val="000000"/>
          <w:spacing w:val="2"/>
          <w:sz w:val="28"/>
          <w:szCs w:val="28"/>
        </w:rPr>
      </w:pPr>
      <w:r>
        <w:rPr>
          <w:b/>
          <w:bCs/>
          <w:color w:val="000000"/>
          <w:spacing w:val="2"/>
          <w:sz w:val="28"/>
          <w:szCs w:val="28"/>
        </w:rPr>
        <w:t>ПОЯСНИТЕЛЬНАЯ ЗАПИСКА</w:t>
      </w:r>
    </w:p>
    <w:p>
      <w:pPr>
        <w:pStyle w:val="Normal"/>
        <w:shd w:val="clear" w:fill="FFFFFF"/>
        <w:ind w:hanging="0" w:right="23"/>
        <w:jc w:val="center"/>
        <w:rPr>
          <w:sz w:val="24"/>
          <w:szCs w:val="24"/>
        </w:rPr>
      </w:pPr>
      <w:r>
        <w:rPr>
          <w:sz w:val="24"/>
          <w:szCs w:val="24"/>
        </w:rPr>
      </w:r>
    </w:p>
    <w:p>
      <w:pPr>
        <w:pStyle w:val="Normal"/>
        <w:jc w:val="center"/>
        <w:rPr>
          <w:bCs/>
          <w:color w:val="000000"/>
          <w:spacing w:val="2"/>
          <w:sz w:val="28"/>
          <w:szCs w:val="28"/>
        </w:rPr>
      </w:pPr>
      <w:r>
        <w:rPr>
          <w:bCs/>
          <w:color w:val="000000"/>
          <w:spacing w:val="2"/>
          <w:sz w:val="28"/>
          <w:szCs w:val="28"/>
        </w:rPr>
        <w:t xml:space="preserve">к проекту закона Приморского края «О внесении </w:t>
      </w:r>
    </w:p>
    <w:p>
      <w:pPr>
        <w:pStyle w:val="Normal"/>
        <w:jc w:val="center"/>
        <w:rPr>
          <w:bCs/>
          <w:color w:val="000000"/>
          <w:spacing w:val="2"/>
          <w:sz w:val="28"/>
          <w:szCs w:val="28"/>
        </w:rPr>
      </w:pPr>
      <w:r>
        <w:rPr>
          <w:bCs/>
          <w:color w:val="000000"/>
          <w:spacing w:val="2"/>
          <w:sz w:val="28"/>
          <w:szCs w:val="28"/>
        </w:rPr>
        <w:t>изменений в Закон Приморского края «О государственной</w:t>
      </w:r>
    </w:p>
    <w:p>
      <w:pPr>
        <w:pStyle w:val="Normal"/>
        <w:jc w:val="center"/>
        <w:rPr>
          <w:bCs/>
          <w:color w:val="000000"/>
          <w:spacing w:val="2"/>
          <w:sz w:val="28"/>
          <w:szCs w:val="28"/>
        </w:rPr>
      </w:pPr>
      <w:r>
        <w:rPr>
          <w:bCs/>
          <w:color w:val="000000"/>
          <w:spacing w:val="2"/>
          <w:sz w:val="28"/>
          <w:szCs w:val="28"/>
        </w:rPr>
        <w:t>поддержке граждан, жилые помещения которых</w:t>
      </w:r>
    </w:p>
    <w:p>
      <w:pPr>
        <w:pStyle w:val="Normal"/>
        <w:jc w:val="center"/>
        <w:rPr>
          <w:bCs/>
          <w:color w:val="000000"/>
          <w:spacing w:val="2"/>
          <w:sz w:val="28"/>
          <w:szCs w:val="28"/>
        </w:rPr>
      </w:pPr>
      <w:r>
        <w:rPr>
          <w:bCs/>
          <w:color w:val="000000"/>
          <w:spacing w:val="2"/>
          <w:sz w:val="28"/>
          <w:szCs w:val="28"/>
        </w:rPr>
        <w:t>признаны непригодными для проживания</w:t>
      </w:r>
    </w:p>
    <w:p>
      <w:pPr>
        <w:pStyle w:val="Normal"/>
        <w:jc w:val="center"/>
        <w:rPr>
          <w:bCs/>
          <w:color w:val="000000"/>
          <w:spacing w:val="2"/>
          <w:sz w:val="28"/>
          <w:szCs w:val="28"/>
        </w:rPr>
      </w:pPr>
      <w:r>
        <w:rPr>
          <w:bCs/>
          <w:color w:val="000000"/>
          <w:spacing w:val="2"/>
          <w:sz w:val="28"/>
          <w:szCs w:val="28"/>
        </w:rPr>
        <w:t xml:space="preserve">в результате чрезвычайной ситуации </w:t>
      </w:r>
    </w:p>
    <w:p>
      <w:pPr>
        <w:pStyle w:val="Normal"/>
        <w:jc w:val="center"/>
        <w:rPr>
          <w:bCs/>
          <w:color w:val="000000"/>
          <w:spacing w:val="2"/>
          <w:sz w:val="28"/>
          <w:szCs w:val="28"/>
        </w:rPr>
      </w:pPr>
      <w:r>
        <w:rPr>
          <w:bCs/>
          <w:color w:val="000000"/>
          <w:spacing w:val="2"/>
          <w:sz w:val="28"/>
          <w:szCs w:val="28"/>
        </w:rPr>
        <w:t>на территории Приморского края»</w:t>
      </w:r>
    </w:p>
    <w:p>
      <w:pPr>
        <w:pStyle w:val="Normal"/>
        <w:jc w:val="center"/>
        <w:rPr>
          <w:sz w:val="24"/>
          <w:szCs w:val="24"/>
        </w:rPr>
      </w:pPr>
      <w:r>
        <w:rPr>
          <w:sz w:val="24"/>
          <w:szCs w:val="24"/>
        </w:rPr>
      </w:r>
    </w:p>
    <w:p>
      <w:pPr>
        <w:pStyle w:val="Normal"/>
        <w:spacing w:lineRule="auto" w:line="360"/>
        <w:ind w:firstLine="709"/>
        <w:jc w:val="both"/>
        <w:rPr>
          <w:bCs/>
          <w:sz w:val="28"/>
          <w:szCs w:val="28"/>
        </w:rPr>
      </w:pP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t>В соответствии со статьей 2 Закона Приморского края от 03.08.2018</w:t>
        <w:br/>
        <w:t>№ 332-КЗ «О государственной поддержке граждан, жилые помещения которых признаны непригодными для проживания в результате чрезвычайной ситуации на территории Приморского края» (далее - Закон) государственная поддержка предоставляется собственникам утраченных жилых помещений</w:t>
        <w:br/>
        <w:t>или нанимателям по договору социального найма утраченных жилых помещений, являвшихся для них на дату введения режима чрезвычайной ситуации на территории соответствующего муниципального образования единственным местом жительства.</w:t>
      </w:r>
    </w:p>
    <w:p>
      <w:pPr>
        <w:pStyle w:val="Normal"/>
        <w:spacing w:lineRule="auto" w:line="360"/>
        <w:ind w:firstLine="709"/>
        <w:jc w:val="both"/>
        <w:rPr>
          <w:sz w:val="28"/>
          <w:szCs w:val="28"/>
        </w:rPr>
      </w:pPr>
      <w:r>
        <w:rPr>
          <w:sz w:val="28"/>
          <w:szCs w:val="28"/>
        </w:rPr>
        <w:t xml:space="preserve">При этом в соответствии со статьей 87 Жилищного кодекса Российской Федерации граждане имеют право на предоставление по договору социального найма иного благоустроенного жилого помещения взамен признанного непригодным для проживания вне зависимости от оснований такого признания. </w:t>
      </w:r>
    </w:p>
    <w:p>
      <w:pPr>
        <w:pStyle w:val="Normal"/>
        <w:spacing w:lineRule="auto" w:line="360"/>
        <w:ind w:firstLine="709"/>
        <w:jc w:val="both"/>
        <w:rPr>
          <w:bCs/>
          <w:sz w:val="28"/>
          <w:szCs w:val="28"/>
        </w:rPr>
      </w:pP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t xml:space="preserve">Проект закона Приморского края «О внесении изменений в Закон Приморского края «О государственной поддержке граждан, жилые помещения которых признаны непригодными для проживания в результате чрезвычайной ситуации на территории Приморского края» (далее - проект закона) предусматривает исключение в качестве получателей государственной поддержки </w:t>
      </w:r>
      <w:r>
        <w:rPr>
          <w:rFonts w:eastAsia="Times New Roman" w:cs="Times New Roman"/>
          <w:b w:val="false"/>
          <w:bCs w:val="false"/>
          <w:i w:val="false"/>
          <w:iCs/>
          <w:caps w:val="false"/>
          <w:smallCaps w:val="false"/>
          <w:strike w:val="false"/>
          <w:dstrike w:val="false"/>
          <w:color w:val="000000"/>
          <w:spacing w:val="1"/>
          <w:kern w:val="0"/>
          <w:sz w:val="28"/>
          <w:szCs w:val="28"/>
          <w:u w:val="none"/>
          <w:lang w:val="ru-RU" w:eastAsia="ru-RU" w:bidi="ar-SA"/>
        </w:rPr>
        <w:t xml:space="preserve">нанимателей по договору социального найма </w:t>
      </w: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t>утраченных жилых помещений.</w:t>
      </w:r>
    </w:p>
    <w:p>
      <w:pPr>
        <w:pStyle w:val="Normal"/>
        <w:spacing w:lineRule="auto" w:line="360"/>
        <w:ind w:firstLine="709"/>
        <w:jc w:val="both"/>
        <w:rPr>
          <w:bCs/>
          <w:sz w:val="28"/>
          <w:szCs w:val="28"/>
        </w:rPr>
      </w:pP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t>Поскольку обеспечение таких граждан жилым помещением взамен утраченного создает риск двойного обеспечения жильем за счет средств бюджетов Российской Федерации, механизм обеспечения жильем</w:t>
        <w:br/>
        <w:t>данной категории граждан в соответствии с Законом представляется избыточным.</w:t>
      </w:r>
    </w:p>
    <w:p>
      <w:pPr>
        <w:pStyle w:val="Normal"/>
        <w:spacing w:lineRule="auto" w:line="360"/>
        <w:ind w:firstLine="709"/>
        <w:jc w:val="both"/>
        <w:rPr>
          <w:bCs/>
          <w:sz w:val="28"/>
          <w:szCs w:val="28"/>
        </w:rPr>
      </w:pP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t>Кроме того, проектом закона также устанавливается срок действия свидетельства, удостоверяющего права гражданина на денежную выплату (далее - свидетельство). Согласно проекту закона срок действия свидетельства составляет шесть месяцев с даты его выдачи, при этом датой выдачи свидетельства устанавливается дата его подписания лицом, уполномоченным Правительством Приморского края.</w:t>
      </w:r>
    </w:p>
    <w:p>
      <w:pPr>
        <w:pStyle w:val="Normal"/>
        <w:spacing w:lineRule="auto" w:line="240"/>
        <w:ind w:hanging="0" w:left="0"/>
        <w:jc w:val="both"/>
        <w:rPr>
          <w:rFonts w:eastAsia="Times New Roman" w:cs="Times New Roman"/>
          <w:b w:val="false"/>
          <w:bCs/>
          <w:i w:val="false"/>
          <w:i w:val="false"/>
          <w:iCs/>
          <w:caps w:val="false"/>
          <w:smallCaps w:val="false"/>
          <w:strike w:val="false"/>
          <w:dstrike w:val="false"/>
          <w:color w:val="000000"/>
          <w:spacing w:val="1"/>
          <w:kern w:val="0"/>
          <w:sz w:val="28"/>
          <w:szCs w:val="28"/>
          <w:u w:val="none"/>
          <w:lang w:val="ru-RU" w:eastAsia="ru-RU" w:bidi="ar-SA"/>
        </w:rPr>
      </w:pP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r>
    </w:p>
    <w:p>
      <w:pPr>
        <w:pStyle w:val="Normal"/>
        <w:spacing w:lineRule="auto" w:line="240"/>
        <w:ind w:hanging="0" w:left="0"/>
        <w:jc w:val="both"/>
        <w:rPr>
          <w:rFonts w:eastAsia="Times New Roman" w:cs="Times New Roman"/>
          <w:b w:val="false"/>
          <w:bCs/>
          <w:i w:val="false"/>
          <w:i w:val="false"/>
          <w:iCs/>
          <w:caps w:val="false"/>
          <w:smallCaps w:val="false"/>
          <w:strike w:val="false"/>
          <w:dstrike w:val="false"/>
          <w:color w:val="000000"/>
          <w:spacing w:val="1"/>
          <w:kern w:val="0"/>
          <w:sz w:val="28"/>
          <w:szCs w:val="28"/>
          <w:u w:val="none"/>
          <w:lang w:val="ru-RU" w:eastAsia="ru-RU" w:bidi="ar-SA"/>
        </w:rPr>
      </w:pPr>
      <w:r>
        <w:rPr>
          <w:rFonts w:eastAsia="Times New Roman" w:cs="Times New Roman"/>
          <w:b w:val="false"/>
          <w:bCs/>
          <w:i w:val="false"/>
          <w:iCs/>
          <w:caps w:val="false"/>
          <w:smallCaps w:val="false"/>
          <w:strike w:val="false"/>
          <w:dstrike w:val="false"/>
          <w:color w:val="000000"/>
          <w:spacing w:val="1"/>
          <w:kern w:val="0"/>
          <w:sz w:val="28"/>
          <w:szCs w:val="28"/>
          <w:u w:val="none"/>
          <w:lang w:val="ru-RU" w:eastAsia="ru-RU" w:bidi="ar-SA"/>
        </w:rPr>
      </w:r>
    </w:p>
    <w:p>
      <w:pPr>
        <w:pStyle w:val="Normal"/>
        <w:spacing w:lineRule="auto" w:line="240"/>
        <w:ind w:hanging="0" w:left="0"/>
        <w:jc w:val="both"/>
        <w:rPr>
          <w:bCs/>
          <w:sz w:val="28"/>
          <w:szCs w:val="28"/>
        </w:rPr>
      </w:pPr>
      <w:r>
        <w:rPr>
          <w:bCs/>
          <w:sz w:val="28"/>
          <w:szCs w:val="28"/>
        </w:rPr>
      </w:r>
    </w:p>
    <w:tbl>
      <w:tblPr>
        <w:tblW w:w="9750" w:type="dxa"/>
        <w:jc w:val="left"/>
        <w:tblInd w:w="0" w:type="dxa"/>
        <w:tblLayout w:type="fixed"/>
        <w:tblCellMar>
          <w:top w:w="0" w:type="dxa"/>
          <w:left w:w="108" w:type="dxa"/>
          <w:bottom w:w="0" w:type="dxa"/>
          <w:right w:w="108" w:type="dxa"/>
        </w:tblCellMar>
      </w:tblPr>
      <w:tblGrid>
        <w:gridCol w:w="5499"/>
        <w:gridCol w:w="4250"/>
      </w:tblGrid>
      <w:tr>
        <w:trPr>
          <w:trHeight w:val="675" w:hRule="atLeast"/>
        </w:trPr>
        <w:tc>
          <w:tcPr>
            <w:tcW w:w="5499" w:type="dxa"/>
            <w:tcBorders/>
          </w:tcPr>
          <w:p>
            <w:pPr>
              <w:pStyle w:val="Normal"/>
              <w:widowControl w:val="false"/>
              <w:suppressAutoHyphens w:val="true"/>
              <w:overflowPunct w:val="true"/>
              <w:bidi w:val="0"/>
              <w:spacing w:before="0" w:after="0"/>
              <w:ind w:hanging="0" w:left="-113" w:right="0"/>
              <w:jc w:val="center"/>
              <w:rPr>
                <w:bCs/>
                <w:spacing w:val="2"/>
                <w:sz w:val="28"/>
                <w:szCs w:val="28"/>
              </w:rPr>
            </w:pPr>
            <w:r>
              <w:rPr>
                <w:bCs/>
                <w:spacing w:val="2"/>
                <w:sz w:val="28"/>
                <w:szCs w:val="28"/>
              </w:rPr>
              <w:t>Министр труда и социальной</w:t>
            </w:r>
          </w:p>
          <w:p>
            <w:pPr>
              <w:pStyle w:val="Normal"/>
              <w:widowControl w:val="false"/>
              <w:suppressAutoHyphens w:val="true"/>
              <w:overflowPunct w:val="true"/>
              <w:bidi w:val="0"/>
              <w:spacing w:before="0" w:after="0"/>
              <w:ind w:hanging="0" w:left="-113" w:right="0"/>
              <w:jc w:val="center"/>
              <w:rPr>
                <w:bCs/>
                <w:spacing w:val="2"/>
                <w:sz w:val="28"/>
                <w:szCs w:val="28"/>
              </w:rPr>
            </w:pPr>
            <w:r>
              <w:rPr>
                <w:bCs/>
                <w:spacing w:val="2"/>
                <w:sz w:val="28"/>
                <w:szCs w:val="28"/>
              </w:rPr>
              <w:t>политики Приморского края</w:t>
            </w:r>
          </w:p>
        </w:tc>
        <w:tc>
          <w:tcPr>
            <w:tcW w:w="4250" w:type="dxa"/>
            <w:tcBorders/>
          </w:tcPr>
          <w:p>
            <w:pPr>
              <w:pStyle w:val="Normal"/>
              <w:widowControl w:val="false"/>
              <w:jc w:val="both"/>
              <w:rPr>
                <w:color w:val="000000"/>
                <w:sz w:val="28"/>
                <w:szCs w:val="28"/>
              </w:rPr>
            </w:pPr>
            <w:r>
              <w:rPr>
                <w:color w:val="000000"/>
                <w:sz w:val="28"/>
                <w:szCs w:val="28"/>
              </w:rPr>
            </w:r>
          </w:p>
          <w:p>
            <w:pPr>
              <w:pStyle w:val="Normal"/>
              <w:widowControl w:val="false"/>
              <w:jc w:val="right"/>
              <w:rPr>
                <w:color w:val="000000"/>
                <w:sz w:val="28"/>
                <w:szCs w:val="28"/>
              </w:rPr>
            </w:pPr>
            <w:r>
              <w:rPr>
                <w:color w:val="000000"/>
                <w:sz w:val="28"/>
                <w:szCs w:val="28"/>
              </w:rPr>
              <w:t xml:space="preserve">      </w:t>
            </w:r>
            <w:bookmarkStart w:id="0" w:name="_GoBack"/>
            <w:r>
              <w:rPr>
                <w:color w:val="000000"/>
                <w:sz w:val="28"/>
                <w:szCs w:val="28"/>
              </w:rPr>
              <w:t>С</w:t>
            </w:r>
            <w:bookmarkEnd w:id="0"/>
            <w:r>
              <w:rPr>
                <w:color w:val="000000"/>
                <w:sz w:val="28"/>
                <w:szCs w:val="28"/>
              </w:rPr>
              <w:t>.В. Красицкая</w:t>
            </w:r>
          </w:p>
        </w:tc>
      </w:tr>
    </w:tbl>
    <w:p>
      <w:pPr>
        <w:pStyle w:val="Normal"/>
        <w:jc w:val="both"/>
        <w:rPr>
          <w:color w:val="000000"/>
          <w:sz w:val="28"/>
          <w:szCs w:val="28"/>
        </w:rPr>
      </w:pPr>
      <w:r>
        <w:rPr>
          <w:color w:val="000000"/>
          <w:sz w:val="28"/>
          <w:szCs w:val="28"/>
        </w:rPr>
      </w:r>
    </w:p>
    <w:sectPr>
      <w:headerReference w:type="even" r:id="rId2"/>
      <w:headerReference w:type="default" r:id="rId3"/>
      <w:headerReference w:type="first" r:id="rId4"/>
      <w:type w:val="continuous"/>
      <w:pgSz w:w="11906" w:h="16838"/>
      <w:pgMar w:left="1418" w:right="851" w:gutter="0" w:header="0" w:top="397" w:footer="0" w:bottom="1134"/>
      <w:formProt w:val="false"/>
      <w:titlePg/>
      <w:textDirection w:val="lrTb"/>
      <w:docGrid w:type="default" w:linePitch="100" w:charSpace="2457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Tahoma">
    <w:charset w:val="01"/>
    <w:family w:val="roman"/>
    <w:pitch w:val="default"/>
  </w:font>
  <w:font w:name="Arial">
    <w:charset w:val="01"/>
    <w:family w:val="swiss"/>
    <w:pitch w:val="default"/>
  </w:font>
  <w:font w:name="Verdana">
    <w:charset w:val="01"/>
    <w:family w:val="roman"/>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sz w:val="28"/>
        <w:szCs w:val="28"/>
      </w:rPr>
    </w:pPr>
    <w:r>
      <w:rPr>
        <w:sz w:val="28"/>
        <w:szCs w:val="28"/>
      </w:rPr>
    </w:r>
  </w:p>
  <w:p>
    <w:pPr>
      <w:pStyle w:val="Header"/>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2</w:t>
    </w:r>
    <w:r>
      <w:rPr>
        <w:sz w:val="24"/>
        <w:szCs w:val="24"/>
      </w:rPr>
      <w:fldChar w:fldCharType="end"/>
    </w:r>
  </w:p>
  <w:p>
    <w:pPr>
      <w:pStyle w:val="Header"/>
      <w:jc w:val="center"/>
      <w:rPr>
        <w:sz w:val="20"/>
        <w:szCs w:val="20"/>
      </w:rPr>
    </w:pPr>
    <w:r>
      <w:rPr>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40"/>
  <w:defaultTabStop w:val="720"/>
  <w:autoHyphenation w:val="true"/>
  <w:doNotHyphenateCaps/>
  <w:hyphenationZone w:val="360"/>
  <w:compat>
    <w:compatSetting w:name="compatibilityMode" w:uri="http://schemas.microsoft.com/office/word" w:val="12"/>
  </w:compat>
  <w:documentProtection w:edit="forms" w:enforcement="1" w:cryptProviderType="rsaAES" w:cryptAlgorithmClass="hash" w:cryptAlgorithmType="typeAny" w:cryptAlgorithmSid="" w:cryptSpinCount="0" w:hash="" w:sal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style w:type="paragraph" w:styleId="Normal">
    <w:name w:val="Normal"/>
    <w:qFormat/>
    <w:pPr>
      <w:widowControl w:val="false"/>
      <w:suppressAutoHyphens w:val="true"/>
      <w:overflowPunct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character" w:styleId="DefaultParagraphFont">
    <w:name w:val="Default Paragraph Font"/>
    <w:qFormat/>
    <w:rPr/>
  </w:style>
  <w:style w:type="character" w:styleId="PageNumber">
    <w:name w:val="page number"/>
    <w:basedOn w:val="DefaultParagraphFont"/>
    <w:qFormat/>
    <w:rPr/>
  </w:style>
  <w:style w:type="character" w:styleId="2">
    <w:name w:val="Основной текст с отступом 2 Знак"/>
    <w:qFormat/>
    <w:rPr>
      <w:lang w:val="ru-RU" w:eastAsia="ru-RU" w:bidi="ar-SA"/>
    </w:rPr>
  </w:style>
  <w:style w:type="character" w:styleId="3">
    <w:name w:val="Основной текст с отступом 3 Знак"/>
    <w:qFormat/>
    <w:rPr>
      <w:sz w:val="16"/>
      <w:szCs w:val="16"/>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pPr>
      <w:widowControl/>
      <w:jc w:val="center"/>
    </w:pPr>
    <w:rPr>
      <w:sz w:val="26"/>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15">
    <w:name w:val="Указатель"/>
    <w:basedOn w:val="Normal"/>
    <w:qFormat/>
    <w:pPr>
      <w:suppressLineNumbers/>
    </w:pPr>
    <w:rPr>
      <w:rFonts w:ascii="PT Astra Serif" w:hAnsi="PT Astra Serif" w:cs="Noto Sans Devanagari"/>
    </w:rPr>
  </w:style>
  <w:style w:type="paragraph" w:styleId="user">
    <w:name w:val="Заголовок (user)"/>
    <w:basedOn w:val="Normal"/>
    <w:next w:val="BodyText"/>
    <w:qFormat/>
    <w:pPr>
      <w:keepNext w:val="true"/>
      <w:spacing w:before="240" w:after="120"/>
    </w:pPr>
    <w:rPr>
      <w:rFonts w:ascii="PT Astra Serif" w:hAnsi="PT Astra Serif" w:eastAsia="Tahoma" w:cs="Noto Sans Devanagari"/>
      <w:sz w:val="28"/>
      <w:szCs w:val="28"/>
    </w:rPr>
  </w:style>
  <w:style w:type="paragraph" w:styleId="user1">
    <w:name w:val="Указатель (user)"/>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eastAsia="Tahoma" w:cs="Noto Sans Devanagari"/>
      <w:sz w:val="28"/>
      <w:szCs w:val="28"/>
    </w:rPr>
  </w:style>
  <w:style w:type="paragraph" w:styleId="caption1">
    <w:name w:val="caption1"/>
    <w:basedOn w:val="Normal"/>
    <w:qFormat/>
    <w:pPr>
      <w:suppressLineNumbers/>
      <w:spacing w:before="120" w:after="120"/>
    </w:pPr>
    <w:rPr>
      <w:rFonts w:cs="Noto Sans Devanagari"/>
      <w:i/>
      <w:iCs/>
      <w:sz w:val="24"/>
      <w:szCs w:val="24"/>
    </w:rPr>
  </w:style>
  <w:style w:type="paragraph" w:styleId="IndexHeading">
    <w:name w:val="index heading"/>
    <w:basedOn w:val="Normal"/>
    <w:qFormat/>
    <w:pPr>
      <w:suppressLineNumbers/>
    </w:pPr>
    <w:rPr>
      <w:rFonts w:cs="Noto Sans Devanagari"/>
    </w:rPr>
  </w:style>
  <w:style w:type="paragraph" w:styleId="Style16">
    <w:name w:val="Верхний и нижний колонтитулы"/>
    <w:basedOn w:val="Normal"/>
    <w:qFormat/>
    <w:pPr/>
    <w:rPr/>
  </w:style>
  <w:style w:type="paragraph" w:styleId="Style17">
    <w:name w:val="Колонтитул"/>
    <w:basedOn w:val="Normal"/>
    <w:qFormat/>
    <w:pPr/>
    <w:rPr/>
  </w:style>
  <w:style w:type="paragraph" w:styleId="user2">
    <w:name w:val="Колонтитулы (user)"/>
    <w:basedOn w:val="Normal"/>
    <w:qFormat/>
    <w:pPr/>
    <w:rPr/>
  </w:style>
  <w:style w:type="paragraph" w:styleId="Style18">
    <w:name w:val="Колонтитулы"/>
    <w:basedOn w:val="Normal"/>
    <w:qFormat/>
    <w:pPr/>
    <w:rPr/>
  </w:style>
  <w:style w:type="paragraph" w:styleId="Header">
    <w:name w:val="header"/>
    <w:basedOn w:val="Normal"/>
    <w:pPr>
      <w:tabs>
        <w:tab w:val="clear" w:pos="720"/>
        <w:tab w:val="center" w:pos="4677" w:leader="none"/>
        <w:tab w:val="right" w:pos="9355" w:leader="none"/>
      </w:tabs>
    </w:pPr>
    <w:rPr/>
  </w:style>
  <w:style w:type="paragraph" w:styleId="BalloonText">
    <w:name w:val="Balloon Text"/>
    <w:basedOn w:val="Normal"/>
    <w:qFormat/>
    <w:pPr/>
    <w:rPr>
      <w:rFonts w:ascii="Tahoma" w:hAnsi="Tahoma" w:cs="Tahoma"/>
      <w:sz w:val="16"/>
      <w:szCs w:val="16"/>
    </w:rPr>
  </w:style>
  <w:style w:type="paragraph" w:styleId="BlockText">
    <w:name w:val="Block Text"/>
    <w:basedOn w:val="Normal"/>
    <w:qFormat/>
    <w:pPr>
      <w:widowControl/>
      <w:ind w:hanging="0" w:left="1418" w:right="1418"/>
      <w:jc w:val="center"/>
    </w:pPr>
    <w:rPr>
      <w:b/>
      <w:sz w:val="26"/>
    </w:rPr>
  </w:style>
  <w:style w:type="paragraph" w:styleId="BodyTextIndent2">
    <w:name w:val="Body Text Indent 2"/>
    <w:basedOn w:val="Normal"/>
    <w:qFormat/>
    <w:pPr>
      <w:spacing w:lineRule="auto" w:line="480" w:before="0" w:after="120"/>
      <w:ind w:hanging="0" w:left="283"/>
    </w:pPr>
    <w:rPr/>
  </w:style>
  <w:style w:type="paragraph" w:styleId="ConsPlusNormal">
    <w:name w:val="ConsPlusNormal"/>
    <w:qFormat/>
    <w:pPr>
      <w:widowControl w:val="false"/>
      <w:suppressAutoHyphens w:val="true"/>
      <w:overflowPunct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1">
    <w:name w:val="Знак Знак Знак1"/>
    <w:basedOn w:val="Normal"/>
    <w:qFormat/>
    <w:pPr>
      <w:widowControl/>
      <w:spacing w:lineRule="exact" w:line="240" w:before="0" w:after="160"/>
    </w:pPr>
    <w:rPr>
      <w:rFonts w:ascii="Verdana" w:hAnsi="Verdana"/>
      <w:sz w:val="24"/>
      <w:szCs w:val="24"/>
      <w:lang w:val="en-US" w:eastAsia="en-US"/>
    </w:rPr>
  </w:style>
  <w:style w:type="paragraph" w:styleId="ConsPlusTitle">
    <w:name w:val="ConsPlusTitle"/>
    <w:qFormat/>
    <w:pPr>
      <w:widowControl/>
      <w:suppressAutoHyphens w:val="true"/>
      <w:overflowPunct w:val="tru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11">
    <w:name w:val="Знак Знак Знак Знак Знак Знак Знак Знак Знак1"/>
    <w:basedOn w:val="Normal"/>
    <w:qFormat/>
    <w:pPr>
      <w:widowControl/>
      <w:spacing w:lineRule="exact" w:line="240" w:before="0" w:after="160"/>
    </w:pPr>
    <w:rPr>
      <w:rFonts w:ascii="Verdana" w:hAnsi="Verdana"/>
      <w:sz w:val="24"/>
      <w:szCs w:val="24"/>
      <w:lang w:val="en-US" w:eastAsia="en-US"/>
    </w:rPr>
  </w:style>
  <w:style w:type="paragraph" w:styleId="Footer">
    <w:name w:val="footer"/>
    <w:basedOn w:val="Normal"/>
    <w:pPr>
      <w:tabs>
        <w:tab w:val="clear" w:pos="720"/>
        <w:tab w:val="center" w:pos="4677" w:leader="none"/>
        <w:tab w:val="right" w:pos="9355" w:leader="none"/>
      </w:tabs>
    </w:pPr>
    <w:rPr/>
  </w:style>
  <w:style w:type="paragraph" w:styleId="BodyTextIndent3">
    <w:name w:val="Body Text Indent 3"/>
    <w:basedOn w:val="Normal"/>
    <w:qFormat/>
    <w:pPr>
      <w:widowControl/>
      <w:spacing w:before="0" w:after="120"/>
      <w:ind w:hanging="0" w:left="283"/>
    </w:pPr>
    <w:rPr>
      <w:sz w:val="16"/>
      <w:szCs w:val="16"/>
    </w:rPr>
  </w:style>
  <w:style w:type="paragraph" w:styleId="NormalWeb">
    <w:name w:val="Normal (Web)"/>
    <w:basedOn w:val="Normal"/>
    <w:qFormat/>
    <w:pPr>
      <w:widowControl/>
      <w:spacing w:before="0" w:after="168"/>
    </w:pPr>
    <w:rPr>
      <w:sz w:val="24"/>
      <w:szCs w:val="24"/>
    </w:rPr>
  </w:style>
  <w:style w:type="paragraph" w:styleId="ListParagraph">
    <w:name w:val="List Paragraph"/>
    <w:basedOn w:val="Normal"/>
    <w:qFormat/>
    <w:pPr>
      <w:spacing w:before="0" w:after="0"/>
      <w:ind w:hanging="0" w:left="720"/>
      <w:contextualSpacing/>
    </w:pPr>
    <w:rPr/>
  </w:style>
  <w:style w:type="paragraph" w:styleId="NoSpacing">
    <w:name w:val="No Spacing"/>
    <w:qFormat/>
    <w:pPr>
      <w:widowControl/>
      <w:suppressAutoHyphens w:val="true"/>
      <w:overflowPunct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Style19">
    <w:name w:val="Содержимое врезки"/>
    <w:basedOn w:val="Normal"/>
    <w:qFormat/>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jc w:val="center"/>
    </w:pPr>
    <w:rPr>
      <w:b/>
      <w:bCs/>
    </w:rPr>
  </w:style>
  <w:style w:type="numbering" w:styleId="user3">
    <w:name w:val="Без списка (user)"/>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410</TotalTime>
  <Application>LibreOffice/25.2.6.2$Linux_X86_64 LibreOffice_project/520$Build-2</Application>
  <AppVersion>15.0000</AppVersion>
  <Pages>2</Pages>
  <Words>270</Words>
  <Characters>1976</Characters>
  <CharactersWithSpaces>2239</CharactersWithSpaces>
  <Paragraphs>16</Paragraphs>
  <Company>КонсультантПлюс Версия 4023.00.52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2024-04-11T07:34:00Z</dcterms:created>
  <dc:creator>Цымбалюк Елена Вячеславовна</dc:creator>
  <dc:description/>
  <dc:language>ru-RU</dc:language>
  <cp:lastModifiedBy/>
  <cp:lastPrinted>2025-05-19T14:19:45Z</cp:lastPrinted>
  <dcterms:modified xsi:type="dcterms:W3CDTF">2026-06-09T15:36:15Z</dcterms:modified>
  <cp:revision>66</cp:revision>
  <dc:subject/>
  <dc:title>Закон Приморского края от 13.05.2022 N 99-КЗ(ред. от 20.12.2023)"О социальной поддержке в Приморском крае детей лиц, участвовавших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области"(принят Законодательным Собранием Приморского края 13.05.2022)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