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right="23"/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ПОЯСНИТЕЛЬНАЯ ЗАПИСКА</w:t>
      </w:r>
    </w:p>
    <w:p>
      <w:pPr>
        <w:pStyle w:val="Normal"/>
        <w:shd w:val="clear" w:color="auto" w:fill="FFFFFF"/>
        <w:ind w:right="2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к проекту закона Приморского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«О внесении изменений в Закон Приморского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«О социальной поддержке в Приморском крае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детей лиц, участвовавших в специальной военной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операции, детей лиц, выполнявших задачи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по отражению вооруженного вторжения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 территорию Российской Федерации,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а также в ходе вооруженной провокации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 государственной границе Российской Федерации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и территориях субъектов Российской Федерации,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прилегающих к районам проведения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специальной военной операции»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="0" w:after="0"/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Проект </w:t>
      </w:r>
      <w:r>
        <w:rPr>
          <w:bCs/>
          <w:spacing w:val="2"/>
          <w:sz w:val="28"/>
          <w:szCs w:val="28"/>
        </w:rPr>
        <w:t>закона Приморского края «О внесении изменений в Закон Приморского края «О социальной поддержке в Приморском крае детей лиц, участвовавших в специальной военной операции, детей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 (далее соответственно - проект закона, Закон) подготовлен в целях улучшения механизма социальной поддержки детей инвалидов боевых действий, погибших (умерших) Героев России, Героев Приморья, ветеранов боевых действий.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проектом закона предлагается предоставлять квартиры, поступившие в собственность Приморского края от физических или юридических лиц</w:t>
        <w:br/>
        <w:t>по договору пожертвования для целей Закона, взамен денежной выплаты.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названных квартир в казну Приморского края краевое государственное казенное учреждение «Центр социальной поддержки населения Приморского края» направляет детям, состоящим в списке лиц, имеющих право на предоставление денежной выплаты по соответствующему муниципальному образованию, уведомление о наличии квартиры.</w:t>
        <w:br/>
        <w:t>При получения согласия Правительством Приморского края принимается решение о предоставлении квартиры в индивидуальную (общую долевую) собственность ребенка (детей), министерство имущественных и земельных отношений Приморского края осуществляет передачу квартир ребенку (детям).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проектом закона </w:t>
      </w:r>
      <w:r>
        <w:rPr>
          <w:sz w:val="28"/>
          <w:szCs w:val="28"/>
        </w:rPr>
        <w:t>предусматриваются</w:t>
      </w:r>
      <w:r>
        <w:rPr>
          <w:sz w:val="28"/>
          <w:szCs w:val="28"/>
        </w:rPr>
        <w:t xml:space="preserve"> переходные положения, </w:t>
      </w:r>
      <w:r>
        <w:rPr>
          <w:sz w:val="28"/>
          <w:szCs w:val="28"/>
        </w:rPr>
        <w:t xml:space="preserve">в соответствии с которыми </w:t>
      </w:r>
      <w:r>
        <w:rPr>
          <w:sz w:val="28"/>
          <w:szCs w:val="28"/>
        </w:rPr>
        <w:t>дет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Героев России, Героев Приморья, дет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-инвалид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ветеранов боевых действий, </w:t>
      </w:r>
      <w:r>
        <w:rPr>
          <w:rFonts w:cs="Times New Roman"/>
          <w:sz w:val="28"/>
          <w:szCs w:val="28"/>
        </w:rPr>
        <w:t>включенны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на дату вступления</w:t>
        <w:br/>
        <w:t xml:space="preserve">в силу проекта закона в реестр лиц, имеющих право на предоставление квартиры в общую долевую собственность либо в индивидуальную собственность, </w:t>
      </w:r>
      <w:r>
        <w:rPr>
          <w:rFonts w:cs="Times New Roman"/>
          <w:sz w:val="28"/>
          <w:szCs w:val="28"/>
        </w:rPr>
        <w:t>включаются в список лиц, имеющих право на предоставление денежной выплаты, исходя из даты подачи заявления о предоставлении квартиры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На указанных детей распространяется установленное Законом право на получение денежной выплаты во внеочередном порядке.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8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96"/>
        <w:gridCol w:w="4088"/>
      </w:tblGrid>
      <w:tr>
        <w:trPr/>
        <w:tc>
          <w:tcPr>
            <w:tcW w:w="5496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Министр труда и социальной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политики Приморского края</w:t>
            </w:r>
          </w:p>
        </w:tc>
        <w:tc>
          <w:tcPr>
            <w:tcW w:w="4088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Красицкая</w:t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continuous"/>
      <w:pgSz w:w="11906" w:h="16838"/>
      <w:pgMar w:left="1418" w:right="851" w:gutter="0" w:header="567" w:top="624" w:footer="0" w:bottom="1134"/>
      <w:formProt w:val="false"/>
      <w:titlePg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2" w:customStyle="1">
    <w:name w:val="Основной текст с отступом 2 Знак"/>
    <w:qFormat/>
    <w:rPr>
      <w:lang w:val="ru-RU" w:eastAsia="ru-RU" w:bidi="ar-SA"/>
    </w:rPr>
  </w:style>
  <w:style w:type="character" w:styleId="3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center"/>
    </w:pPr>
    <w:rPr>
      <w:sz w:val="26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 w:customStyle="1">
    <w:name w:val="Верхний и нижний колонтитулы"/>
    <w:basedOn w:val="Normal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left="1418" w:right="1418"/>
      <w:jc w:val="center"/>
    </w:pPr>
    <w:rPr>
      <w:b/>
      <w:sz w:val="2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Знак Знак Знак1"/>
    <w:basedOn w:val="Normal"/>
    <w:qFormat/>
    <w:pPr>
      <w:widowControl/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1" w:customStyle="1">
    <w:name w:val="Знак Знак Знак Знак Знак Знак Знак Знак Знак1"/>
    <w:basedOn w:val="Normal"/>
    <w:qFormat/>
    <w:pPr>
      <w:widowControl/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qFormat/>
    <w:pPr>
      <w:widowControl/>
      <w:spacing w:before="0"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widowControl/>
      <w:spacing w:before="0" w:after="168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user3" w:customStyle="1">
    <w:name w:val="Содержимое врезки (user)"/>
    <w:basedOn w:val="Normal"/>
    <w:qFormat/>
    <w:pPr/>
    <w:rPr/>
  </w:style>
  <w:style w:type="paragraph" w:styleId="user4" w:customStyle="1">
    <w:name w:val="Содержимое таблицы (user)"/>
    <w:basedOn w:val="Normal"/>
    <w:qFormat/>
    <w:pPr>
      <w:suppressLineNumbers/>
    </w:pPr>
    <w:rPr/>
  </w:style>
  <w:style w:type="paragraph" w:styleId="user5" w:customStyle="1">
    <w:name w:val="Заголовок таблицы (user)"/>
    <w:basedOn w:val="user4"/>
    <w:qFormat/>
    <w:pPr>
      <w:jc w:val="center"/>
    </w:pPr>
    <w:rPr>
      <w:b/>
      <w:bCs/>
    </w:rPr>
  </w:style>
  <w:style w:type="numbering" w:styleId="user6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LibreOffice/25.2.6.2$Linux_X86_64 LibreOffice_project/520$Build-2</Application>
  <AppVersion>15.0000</AppVersion>
  <Pages>2</Pages>
  <Words>325</Words>
  <Characters>2351</Characters>
  <CharactersWithSpaces>2655</CharactersWithSpaces>
  <Paragraphs>21</Paragraphs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2025-12-25T04:41:00Z</dcterms:created>
  <dc:creator>Цымбалюк Елена Вячеславовна</dc:creator>
  <dc:description/>
  <dc:language>ru-RU</dc:language>
  <cp:lastModifiedBy/>
  <cp:lastPrinted>2024-04-11T07:31:00Z</cp:lastPrinted>
  <dcterms:modified xsi:type="dcterms:W3CDTF">2026-04-08T15:17:26Z</dcterms:modified>
  <cp:revision>30</cp:revision>
  <dc:subject/>
  <dc:title>Закон Приморского края от 13.05.2022 N 99-КЗ(ред. от 20.12.2023)"О социальной поддержке в Приморском крае детей лиц, участвовавших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области"(принят Законодательным Собранием Приморского края 13.05.2022)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